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AF144" w14:textId="77777777" w:rsidR="00C43AA1" w:rsidRDefault="00F2604B">
      <w:pPr>
        <w:spacing w:line="240" w:lineRule="auto"/>
        <w:jc w:val="center"/>
        <w:rPr>
          <w:rFonts w:ascii="Arial" w:eastAsia="Arial" w:hAnsi="Arial" w:cs="Arial"/>
          <w:b/>
          <w:sz w:val="26"/>
          <w:szCs w:val="26"/>
        </w:rPr>
      </w:pPr>
      <w:bookmarkStart w:id="0" w:name="_GoBack"/>
      <w:r>
        <w:rPr>
          <w:rFonts w:ascii="Arial" w:eastAsia="Arial" w:hAnsi="Arial" w:cs="Arial"/>
          <w:b/>
          <w:sz w:val="26"/>
          <w:szCs w:val="26"/>
        </w:rPr>
        <w:t xml:space="preserve">UNIÃO ESTÁVEL PUTATIVA </w:t>
      </w:r>
      <w:r w:rsidR="005A7987">
        <w:rPr>
          <w:rFonts w:ascii="Arial" w:eastAsia="Arial" w:hAnsi="Arial" w:cs="Arial"/>
          <w:b/>
          <w:sz w:val="26"/>
          <w:szCs w:val="26"/>
        </w:rPr>
        <w:t>ou</w:t>
      </w:r>
      <w:r>
        <w:rPr>
          <w:rFonts w:ascii="Arial" w:eastAsia="Arial" w:hAnsi="Arial" w:cs="Arial"/>
          <w:b/>
          <w:sz w:val="26"/>
          <w:szCs w:val="26"/>
        </w:rPr>
        <w:t xml:space="preserve"> CONCUBINATO</w:t>
      </w:r>
      <w:bookmarkEnd w:id="0"/>
    </w:p>
    <w:p w14:paraId="2F968590" w14:textId="77777777" w:rsidR="00C43AA1" w:rsidRPr="004313BB" w:rsidRDefault="00F2604B">
      <w:pPr>
        <w:spacing w:line="240" w:lineRule="auto"/>
        <w:jc w:val="center"/>
        <w:rPr>
          <w:rFonts w:ascii="Arial" w:eastAsia="Arial" w:hAnsi="Arial" w:cs="Arial"/>
          <w:b/>
          <w:sz w:val="26"/>
          <w:szCs w:val="26"/>
        </w:rPr>
      </w:pPr>
      <w:r w:rsidRPr="004313BB">
        <w:rPr>
          <w:rFonts w:ascii="Arial" w:eastAsia="Arial" w:hAnsi="Arial" w:cs="Arial"/>
          <w:b/>
          <w:sz w:val="26"/>
          <w:szCs w:val="26"/>
        </w:rPr>
        <w:t xml:space="preserve">Clara </w:t>
      </w:r>
      <w:r w:rsidR="008A6BAF" w:rsidRPr="008A6BAF">
        <w:rPr>
          <w:rFonts w:ascii="Arial" w:eastAsia="Arial" w:hAnsi="Arial" w:cs="Arial"/>
          <w:b/>
          <w:sz w:val="26"/>
          <w:szCs w:val="26"/>
        </w:rPr>
        <w:t xml:space="preserve">Santana </w:t>
      </w:r>
      <w:proofErr w:type="spellStart"/>
      <w:r w:rsidR="008A6BAF" w:rsidRPr="008A6BAF">
        <w:rPr>
          <w:rFonts w:ascii="Arial" w:eastAsia="Arial" w:hAnsi="Arial" w:cs="Arial"/>
          <w:b/>
          <w:sz w:val="26"/>
          <w:szCs w:val="26"/>
        </w:rPr>
        <w:t>Papisckys</w:t>
      </w:r>
      <w:proofErr w:type="spellEnd"/>
      <w:r w:rsidR="008A6BAF" w:rsidRPr="008A6BAF">
        <w:rPr>
          <w:rFonts w:ascii="Arial" w:eastAsia="Arial" w:hAnsi="Arial" w:cs="Arial"/>
          <w:b/>
          <w:sz w:val="26"/>
          <w:szCs w:val="26"/>
        </w:rPr>
        <w:t xml:space="preserve"> Da Motta</w:t>
      </w:r>
      <w:r w:rsidRPr="004313BB">
        <w:rPr>
          <w:rFonts w:ascii="Arial" w:eastAsia="Arial" w:hAnsi="Arial" w:cs="Arial"/>
          <w:b/>
          <w:sz w:val="26"/>
          <w:szCs w:val="26"/>
        </w:rPr>
        <w:t xml:space="preserve">, Daniel </w:t>
      </w:r>
      <w:proofErr w:type="spellStart"/>
      <w:r w:rsidRPr="004313BB">
        <w:rPr>
          <w:rFonts w:ascii="Arial" w:eastAsia="Arial" w:hAnsi="Arial" w:cs="Arial"/>
          <w:b/>
          <w:sz w:val="26"/>
          <w:szCs w:val="26"/>
        </w:rPr>
        <w:t>Sunao</w:t>
      </w:r>
      <w:proofErr w:type="spellEnd"/>
      <w:r w:rsidRPr="004313BB">
        <w:rPr>
          <w:rFonts w:ascii="Arial" w:eastAsia="Arial" w:hAnsi="Arial" w:cs="Arial"/>
          <w:b/>
          <w:sz w:val="26"/>
          <w:szCs w:val="26"/>
        </w:rPr>
        <w:t xml:space="preserve"> Dias, Deborah </w:t>
      </w:r>
      <w:r w:rsidR="008A6BAF">
        <w:rPr>
          <w:rFonts w:ascii="Arial" w:eastAsia="Arial" w:hAnsi="Arial" w:cs="Arial"/>
          <w:b/>
          <w:sz w:val="26"/>
          <w:szCs w:val="26"/>
        </w:rPr>
        <w:t xml:space="preserve">Priscilla Santos de </w:t>
      </w:r>
      <w:r w:rsidRPr="004313BB">
        <w:rPr>
          <w:rFonts w:ascii="Arial" w:eastAsia="Arial" w:hAnsi="Arial" w:cs="Arial"/>
          <w:b/>
          <w:sz w:val="26"/>
          <w:szCs w:val="26"/>
        </w:rPr>
        <w:t xml:space="preserve">Novaes, Luísa </w:t>
      </w:r>
      <w:r w:rsidR="008A6BAF">
        <w:rPr>
          <w:rFonts w:ascii="Arial" w:eastAsia="Arial" w:hAnsi="Arial" w:cs="Arial"/>
          <w:b/>
          <w:sz w:val="26"/>
          <w:szCs w:val="26"/>
        </w:rPr>
        <w:t xml:space="preserve">Martins </w:t>
      </w:r>
      <w:r w:rsidRPr="004313BB">
        <w:rPr>
          <w:rFonts w:ascii="Arial" w:eastAsia="Arial" w:hAnsi="Arial" w:cs="Arial"/>
          <w:b/>
          <w:sz w:val="26"/>
          <w:szCs w:val="26"/>
        </w:rPr>
        <w:t xml:space="preserve">Carneiro </w:t>
      </w:r>
    </w:p>
    <w:p w14:paraId="3C8EA035" w14:textId="77777777" w:rsidR="00C43AA1" w:rsidRDefault="00F2604B">
      <w:pPr>
        <w:spacing w:line="240" w:lineRule="auto"/>
        <w:jc w:val="center"/>
        <w:rPr>
          <w:rFonts w:ascii="Arial" w:eastAsia="Arial" w:hAnsi="Arial" w:cs="Arial"/>
          <w:sz w:val="26"/>
          <w:szCs w:val="26"/>
        </w:rPr>
      </w:pPr>
      <w:r>
        <w:rPr>
          <w:rFonts w:ascii="Arial" w:eastAsia="Arial" w:hAnsi="Arial" w:cs="Arial"/>
          <w:sz w:val="26"/>
          <w:szCs w:val="26"/>
        </w:rPr>
        <w:t>Faculdade de Direito/ Universidade de São Paulo</w:t>
      </w:r>
    </w:p>
    <w:p w14:paraId="46A4E240" w14:textId="77777777" w:rsidR="00C43AA1" w:rsidRPr="00A8273E" w:rsidRDefault="00C43AA1">
      <w:pPr>
        <w:spacing w:line="240" w:lineRule="auto"/>
        <w:jc w:val="center"/>
        <w:rPr>
          <w:rFonts w:ascii="Arial" w:eastAsia="Arial" w:hAnsi="Arial" w:cs="Arial"/>
          <w:sz w:val="20"/>
          <w:szCs w:val="20"/>
        </w:rPr>
      </w:pPr>
    </w:p>
    <w:p w14:paraId="3E8898A7" w14:textId="77777777" w:rsidR="00C43AA1" w:rsidRPr="00A8273E" w:rsidRDefault="00C43AA1">
      <w:pPr>
        <w:spacing w:line="240" w:lineRule="auto"/>
        <w:jc w:val="center"/>
        <w:rPr>
          <w:rFonts w:ascii="Arial" w:eastAsia="Arial" w:hAnsi="Arial" w:cs="Arial"/>
          <w:sz w:val="20"/>
          <w:szCs w:val="20"/>
        </w:rPr>
        <w:sectPr w:rsidR="00C43AA1" w:rsidRPr="00A8273E">
          <w:pgSz w:w="11906" w:h="16838"/>
          <w:pgMar w:top="1871" w:right="1474" w:bottom="2381" w:left="1474" w:header="0" w:footer="720" w:gutter="0"/>
          <w:pgNumType w:start="1"/>
          <w:cols w:space="720"/>
        </w:sectPr>
      </w:pPr>
    </w:p>
    <w:p w14:paraId="19550B9F" w14:textId="77777777" w:rsidR="00C43AA1" w:rsidRDefault="00F2604B">
      <w:pPr>
        <w:jc w:val="both"/>
        <w:rPr>
          <w:rFonts w:ascii="Arial" w:eastAsia="Arial" w:hAnsi="Arial" w:cs="Arial"/>
          <w:b/>
          <w:sz w:val="26"/>
          <w:szCs w:val="26"/>
        </w:rPr>
      </w:pPr>
      <w:r>
        <w:rPr>
          <w:rFonts w:ascii="Arial" w:eastAsia="Arial" w:hAnsi="Arial" w:cs="Arial"/>
          <w:b/>
          <w:sz w:val="26"/>
          <w:szCs w:val="26"/>
        </w:rPr>
        <w:lastRenderedPageBreak/>
        <w:t>Objetivos</w:t>
      </w:r>
    </w:p>
    <w:p w14:paraId="6EAB9B24" w14:textId="77777777" w:rsidR="00C43AA1" w:rsidRDefault="00897607">
      <w:pPr>
        <w:spacing w:line="240" w:lineRule="auto"/>
        <w:jc w:val="both"/>
        <w:rPr>
          <w:rFonts w:ascii="Arial" w:eastAsia="Arial" w:hAnsi="Arial" w:cs="Arial"/>
          <w:sz w:val="20"/>
          <w:szCs w:val="20"/>
        </w:rPr>
      </w:pPr>
      <w:r>
        <w:rPr>
          <w:rFonts w:ascii="Arial" w:eastAsia="Arial" w:hAnsi="Arial" w:cs="Arial"/>
          <w:sz w:val="20"/>
          <w:szCs w:val="20"/>
        </w:rPr>
        <w:t>Tendo em vista a</w:t>
      </w:r>
      <w:r w:rsidR="00F2604B">
        <w:rPr>
          <w:rFonts w:ascii="Arial" w:eastAsia="Arial" w:hAnsi="Arial" w:cs="Arial"/>
          <w:sz w:val="20"/>
          <w:szCs w:val="20"/>
        </w:rPr>
        <w:t xml:space="preserve"> conceituação doutrinária e análise jurisprudencial, o presente trabalho visa examinar como os tribunais superiores têm julgado os casos envolvendo "União Estável Putativa", principalmente no que diz respei</w:t>
      </w:r>
      <w:r>
        <w:rPr>
          <w:rFonts w:ascii="Arial" w:eastAsia="Arial" w:hAnsi="Arial" w:cs="Arial"/>
          <w:sz w:val="20"/>
          <w:szCs w:val="20"/>
        </w:rPr>
        <w:t xml:space="preserve">to </w:t>
      </w:r>
      <w:r w:rsidR="00AA6D32">
        <w:rPr>
          <w:rFonts w:ascii="Arial" w:eastAsia="Arial" w:hAnsi="Arial" w:cs="Arial"/>
          <w:sz w:val="20"/>
          <w:szCs w:val="20"/>
        </w:rPr>
        <w:t>à</w:t>
      </w:r>
      <w:r>
        <w:rPr>
          <w:rFonts w:ascii="Arial" w:eastAsia="Arial" w:hAnsi="Arial" w:cs="Arial"/>
          <w:sz w:val="20"/>
          <w:szCs w:val="20"/>
        </w:rPr>
        <w:t xml:space="preserve"> postura das Cortes quanto à</w:t>
      </w:r>
      <w:r w:rsidR="00F2604B">
        <w:rPr>
          <w:rFonts w:ascii="Arial" w:eastAsia="Arial" w:hAnsi="Arial" w:cs="Arial"/>
          <w:sz w:val="20"/>
          <w:szCs w:val="20"/>
        </w:rPr>
        <w:t xml:space="preserve"> diferenciação entre este conceit</w:t>
      </w:r>
      <w:r w:rsidR="00AA6D32">
        <w:rPr>
          <w:rFonts w:ascii="Arial" w:eastAsia="Arial" w:hAnsi="Arial" w:cs="Arial"/>
          <w:sz w:val="20"/>
          <w:szCs w:val="20"/>
        </w:rPr>
        <w:t>o e o conceito de "Concubinato</w:t>
      </w:r>
      <w:r w:rsidR="00F2604B">
        <w:rPr>
          <w:rFonts w:ascii="Arial" w:eastAsia="Arial" w:hAnsi="Arial" w:cs="Arial"/>
          <w:sz w:val="20"/>
          <w:szCs w:val="20"/>
        </w:rPr>
        <w:t>". Assim, o trabalho pretende delinear quais os elementos objetivos usados pelos magistrados para atribuir boa-fé a conduta das companheiras que estabelecem relações afetivas, contínuas e duradou</w:t>
      </w:r>
      <w:r>
        <w:rPr>
          <w:rFonts w:ascii="Arial" w:eastAsia="Arial" w:hAnsi="Arial" w:cs="Arial"/>
          <w:sz w:val="20"/>
          <w:szCs w:val="20"/>
        </w:rPr>
        <w:t>ras com parceiros que já contraíram</w:t>
      </w:r>
      <w:r w:rsidR="00F2604B">
        <w:rPr>
          <w:rFonts w:ascii="Arial" w:eastAsia="Arial" w:hAnsi="Arial" w:cs="Arial"/>
          <w:sz w:val="20"/>
          <w:szCs w:val="20"/>
        </w:rPr>
        <w:t xml:space="preserve"> matrimônio. A pesquisa mostra-se de extrema relevância, principalmente por trazer tantas implicações para os campos dos direitos sucessório e previdenciário, visto que a mane</w:t>
      </w:r>
      <w:r w:rsidR="00AA6D32">
        <w:rPr>
          <w:rFonts w:ascii="Arial" w:eastAsia="Arial" w:hAnsi="Arial" w:cs="Arial"/>
          <w:sz w:val="20"/>
          <w:szCs w:val="20"/>
        </w:rPr>
        <w:t>ira como se interpreta a vida do</w:t>
      </w:r>
      <w:r w:rsidR="00F2604B">
        <w:rPr>
          <w:rFonts w:ascii="Arial" w:eastAsia="Arial" w:hAnsi="Arial" w:cs="Arial"/>
          <w:sz w:val="20"/>
          <w:szCs w:val="20"/>
        </w:rPr>
        <w:t>s companheir</w:t>
      </w:r>
      <w:r w:rsidR="00AA6D32">
        <w:rPr>
          <w:rFonts w:ascii="Arial" w:eastAsia="Arial" w:hAnsi="Arial" w:cs="Arial"/>
          <w:sz w:val="20"/>
          <w:szCs w:val="20"/>
        </w:rPr>
        <w:t>o</w:t>
      </w:r>
      <w:r w:rsidR="00F2604B">
        <w:rPr>
          <w:rFonts w:ascii="Arial" w:eastAsia="Arial" w:hAnsi="Arial" w:cs="Arial"/>
          <w:sz w:val="20"/>
          <w:szCs w:val="20"/>
        </w:rPr>
        <w:t xml:space="preserve">s pode restringir ou ampliar seus direitos em face do patrimônio da pessoa casada e seu cônjuge. </w:t>
      </w:r>
    </w:p>
    <w:p w14:paraId="486B9FC0" w14:textId="77777777" w:rsidR="00C43AA1" w:rsidRDefault="00F2604B">
      <w:pPr>
        <w:spacing w:line="240" w:lineRule="auto"/>
        <w:jc w:val="both"/>
        <w:rPr>
          <w:rFonts w:ascii="Arial" w:eastAsia="Arial" w:hAnsi="Arial" w:cs="Arial"/>
          <w:b/>
          <w:sz w:val="26"/>
          <w:szCs w:val="26"/>
        </w:rPr>
      </w:pPr>
      <w:r>
        <w:rPr>
          <w:rFonts w:ascii="Arial" w:eastAsia="Arial" w:hAnsi="Arial" w:cs="Arial"/>
          <w:b/>
          <w:sz w:val="26"/>
          <w:szCs w:val="26"/>
        </w:rPr>
        <w:t>Métodos e Procedimentos</w:t>
      </w:r>
    </w:p>
    <w:p w14:paraId="63DC6356" w14:textId="77777777" w:rsidR="00AA6D32" w:rsidRDefault="00F2604B">
      <w:pPr>
        <w:spacing w:line="240" w:lineRule="auto"/>
        <w:jc w:val="both"/>
        <w:rPr>
          <w:rFonts w:ascii="Arial" w:eastAsia="Arial" w:hAnsi="Arial" w:cs="Arial"/>
          <w:sz w:val="20"/>
          <w:szCs w:val="20"/>
        </w:rPr>
      </w:pPr>
      <w:r>
        <w:rPr>
          <w:rFonts w:ascii="Arial" w:eastAsia="Arial" w:hAnsi="Arial" w:cs="Arial"/>
          <w:sz w:val="20"/>
          <w:szCs w:val="20"/>
        </w:rPr>
        <w:t>O método baseia-se em análise jurisprudencial a partir de palavras e termos chave como “</w:t>
      </w:r>
      <w:r w:rsidR="00897607">
        <w:rPr>
          <w:rFonts w:ascii="Arial" w:eastAsia="Arial" w:hAnsi="Arial" w:cs="Arial"/>
          <w:sz w:val="20"/>
          <w:szCs w:val="20"/>
        </w:rPr>
        <w:t>famílias</w:t>
      </w:r>
      <w:r>
        <w:rPr>
          <w:rFonts w:ascii="Arial" w:eastAsia="Arial" w:hAnsi="Arial" w:cs="Arial"/>
          <w:sz w:val="20"/>
          <w:szCs w:val="20"/>
        </w:rPr>
        <w:t xml:space="preserve"> paralelas”, “</w:t>
      </w:r>
      <w:r w:rsidR="00897607">
        <w:rPr>
          <w:rFonts w:ascii="Arial" w:eastAsia="Arial" w:hAnsi="Arial" w:cs="Arial"/>
          <w:sz w:val="20"/>
          <w:szCs w:val="20"/>
        </w:rPr>
        <w:t>famílias</w:t>
      </w:r>
      <w:r>
        <w:rPr>
          <w:rFonts w:ascii="Arial" w:eastAsia="Arial" w:hAnsi="Arial" w:cs="Arial"/>
          <w:sz w:val="20"/>
          <w:szCs w:val="20"/>
        </w:rPr>
        <w:t xml:space="preserve"> simultâneas”, “concubinato”,</w:t>
      </w:r>
      <w:r w:rsidR="00AA6D32">
        <w:rPr>
          <w:rFonts w:ascii="Arial" w:eastAsia="Arial" w:hAnsi="Arial" w:cs="Arial"/>
          <w:sz w:val="20"/>
          <w:szCs w:val="20"/>
        </w:rPr>
        <w:t xml:space="preserve"> “concubinato impuro”,</w:t>
      </w:r>
      <w:r>
        <w:rPr>
          <w:rFonts w:ascii="Arial" w:eastAsia="Arial" w:hAnsi="Arial" w:cs="Arial"/>
          <w:sz w:val="20"/>
          <w:szCs w:val="20"/>
        </w:rPr>
        <w:t xml:space="preserve"> “união estável putativa” e semelhantes. A partir das palavras e termos chave analisa</w:t>
      </w:r>
      <w:r w:rsidR="00897607">
        <w:rPr>
          <w:rFonts w:ascii="Arial" w:eastAsia="Arial" w:hAnsi="Arial" w:cs="Arial"/>
          <w:sz w:val="20"/>
          <w:szCs w:val="20"/>
        </w:rPr>
        <w:t>r-se-ão as sentenças do último ano – a partir de outubro de 2015 até outubro de 201</w:t>
      </w:r>
      <w:r w:rsidR="00945704">
        <w:rPr>
          <w:rFonts w:ascii="Arial" w:eastAsia="Arial" w:hAnsi="Arial" w:cs="Arial"/>
          <w:sz w:val="20"/>
          <w:szCs w:val="20"/>
        </w:rPr>
        <w:t>7</w:t>
      </w:r>
      <w:r w:rsidR="00897607">
        <w:rPr>
          <w:rFonts w:ascii="Arial" w:eastAsia="Arial" w:hAnsi="Arial" w:cs="Arial"/>
          <w:sz w:val="20"/>
          <w:szCs w:val="20"/>
        </w:rPr>
        <w:t xml:space="preserve"> -</w:t>
      </w:r>
      <w:r>
        <w:rPr>
          <w:rFonts w:ascii="Arial" w:eastAsia="Arial" w:hAnsi="Arial" w:cs="Arial"/>
          <w:sz w:val="20"/>
          <w:szCs w:val="20"/>
        </w:rPr>
        <w:t xml:space="preserve"> dos Tribunais Superiores de todo o país no que</w:t>
      </w:r>
      <w:r w:rsidR="00AA6D32">
        <w:rPr>
          <w:rFonts w:ascii="Arial" w:eastAsia="Arial" w:hAnsi="Arial" w:cs="Arial"/>
          <w:sz w:val="20"/>
          <w:szCs w:val="20"/>
        </w:rPr>
        <w:t xml:space="preserve"> tange a conceituação usual de União Estável Putativa e C</w:t>
      </w:r>
      <w:r>
        <w:rPr>
          <w:rFonts w:ascii="Arial" w:eastAsia="Arial" w:hAnsi="Arial" w:cs="Arial"/>
          <w:sz w:val="20"/>
          <w:szCs w:val="20"/>
        </w:rPr>
        <w:t>oncubinato.</w:t>
      </w:r>
    </w:p>
    <w:p w14:paraId="18DBCB3D" w14:textId="77777777" w:rsidR="00C43AA1" w:rsidRDefault="00F2604B">
      <w:pPr>
        <w:jc w:val="both"/>
        <w:rPr>
          <w:rFonts w:ascii="Arial" w:eastAsia="Arial" w:hAnsi="Arial" w:cs="Arial"/>
          <w:b/>
          <w:sz w:val="26"/>
          <w:szCs w:val="26"/>
        </w:rPr>
      </w:pPr>
      <w:r>
        <w:rPr>
          <w:rFonts w:ascii="Arial" w:eastAsia="Arial" w:hAnsi="Arial" w:cs="Arial"/>
          <w:b/>
          <w:sz w:val="26"/>
          <w:szCs w:val="26"/>
        </w:rPr>
        <w:t>Resultados</w:t>
      </w:r>
    </w:p>
    <w:p w14:paraId="43109357" w14:textId="77777777" w:rsidR="00AA6D32" w:rsidRDefault="00F2604B">
      <w:pPr>
        <w:spacing w:line="240" w:lineRule="auto"/>
        <w:jc w:val="both"/>
        <w:rPr>
          <w:rFonts w:ascii="Arial" w:eastAsia="Arial" w:hAnsi="Arial" w:cs="Arial"/>
          <w:sz w:val="20"/>
          <w:szCs w:val="20"/>
        </w:rPr>
      </w:pPr>
      <w:bookmarkStart w:id="1" w:name="_gjdgxs" w:colFirst="0" w:colLast="0"/>
      <w:bookmarkEnd w:id="1"/>
      <w:r>
        <w:rPr>
          <w:rFonts w:ascii="Arial" w:eastAsia="Arial" w:hAnsi="Arial" w:cs="Arial"/>
          <w:sz w:val="20"/>
          <w:szCs w:val="20"/>
        </w:rPr>
        <w:t xml:space="preserve">Após </w:t>
      </w:r>
      <w:r w:rsidR="00063357">
        <w:rPr>
          <w:rFonts w:ascii="Arial" w:eastAsia="Arial" w:hAnsi="Arial" w:cs="Arial"/>
          <w:sz w:val="20"/>
          <w:szCs w:val="20"/>
        </w:rPr>
        <w:t xml:space="preserve">breve análise dos julgados mais recentes do STJ foi verificado que os casos que apresentavam o conceito de união estável putativa, em sua maioria, não eram reconhecidos pelos juízes como tal. </w:t>
      </w:r>
    </w:p>
    <w:p w14:paraId="6DF14293" w14:textId="77777777" w:rsidR="00063357" w:rsidRDefault="00063357" w:rsidP="004A144E">
      <w:pPr>
        <w:spacing w:line="240" w:lineRule="auto"/>
        <w:jc w:val="both"/>
        <w:rPr>
          <w:rFonts w:ascii="Arial" w:eastAsia="Arial" w:hAnsi="Arial" w:cs="Arial"/>
          <w:sz w:val="20"/>
          <w:szCs w:val="20"/>
        </w:rPr>
      </w:pPr>
      <w:r>
        <w:rPr>
          <w:rFonts w:ascii="Arial" w:eastAsia="Arial" w:hAnsi="Arial" w:cs="Arial"/>
          <w:sz w:val="20"/>
          <w:szCs w:val="20"/>
        </w:rPr>
        <w:lastRenderedPageBreak/>
        <w:t>Nos dezessete casos analisados, somente um foi reconhecido como união estável putativa, contudo, neste caso não havia famílias paralelas</w:t>
      </w:r>
      <w:r w:rsidR="00250A8D">
        <w:rPr>
          <w:rFonts w:ascii="Arial" w:eastAsia="Arial" w:hAnsi="Arial" w:cs="Arial"/>
          <w:sz w:val="20"/>
          <w:szCs w:val="20"/>
        </w:rPr>
        <w:t xml:space="preserve"> de fato</w:t>
      </w:r>
      <w:r>
        <w:rPr>
          <w:rFonts w:ascii="Arial" w:eastAsia="Arial" w:hAnsi="Arial" w:cs="Arial"/>
          <w:sz w:val="20"/>
          <w:szCs w:val="20"/>
        </w:rPr>
        <w:t xml:space="preserve">, </w:t>
      </w:r>
      <w:r w:rsidR="008B3FC3">
        <w:rPr>
          <w:rFonts w:ascii="Arial" w:eastAsia="Arial" w:hAnsi="Arial" w:cs="Arial"/>
          <w:sz w:val="20"/>
          <w:szCs w:val="20"/>
        </w:rPr>
        <w:t>mas</w:t>
      </w:r>
      <w:r>
        <w:rPr>
          <w:rFonts w:ascii="Arial" w:eastAsia="Arial" w:hAnsi="Arial" w:cs="Arial"/>
          <w:sz w:val="20"/>
          <w:szCs w:val="20"/>
        </w:rPr>
        <w:t xml:space="preserve"> sim um</w:t>
      </w:r>
      <w:r w:rsidR="00250A8D">
        <w:rPr>
          <w:rFonts w:ascii="Arial" w:eastAsia="Arial" w:hAnsi="Arial" w:cs="Arial"/>
          <w:sz w:val="20"/>
          <w:szCs w:val="20"/>
        </w:rPr>
        <w:t>a união semelhante ao</w:t>
      </w:r>
      <w:r>
        <w:rPr>
          <w:rFonts w:ascii="Arial" w:eastAsia="Arial" w:hAnsi="Arial" w:cs="Arial"/>
          <w:sz w:val="20"/>
          <w:szCs w:val="20"/>
        </w:rPr>
        <w:t xml:space="preserve"> casamento putativo, pois os companheiros viviam em uma união estável e acreditavam ser desimpedidos, </w:t>
      </w:r>
      <w:r w:rsidR="00250A8D">
        <w:rPr>
          <w:rFonts w:ascii="Arial" w:eastAsia="Arial" w:hAnsi="Arial" w:cs="Arial"/>
          <w:sz w:val="20"/>
          <w:szCs w:val="20"/>
        </w:rPr>
        <w:t>porém</w:t>
      </w:r>
      <w:r>
        <w:rPr>
          <w:rFonts w:ascii="Arial" w:eastAsia="Arial" w:hAnsi="Arial" w:cs="Arial"/>
          <w:sz w:val="20"/>
          <w:szCs w:val="20"/>
        </w:rPr>
        <w:t xml:space="preserve"> um dos companheiros, que acreditava ser divorciado, estava ainda casado.</w:t>
      </w:r>
    </w:p>
    <w:p w14:paraId="5B93F6AA" w14:textId="77777777" w:rsidR="00AA6D32" w:rsidRDefault="00AA6D32" w:rsidP="004A144E">
      <w:pPr>
        <w:spacing w:line="240" w:lineRule="auto"/>
        <w:jc w:val="both"/>
        <w:rPr>
          <w:rFonts w:ascii="Arial" w:eastAsia="Arial" w:hAnsi="Arial" w:cs="Arial"/>
          <w:sz w:val="20"/>
          <w:szCs w:val="20"/>
        </w:rPr>
      </w:pPr>
      <w:r>
        <w:rPr>
          <w:rFonts w:ascii="Arial" w:eastAsia="Arial" w:hAnsi="Arial" w:cs="Arial"/>
          <w:sz w:val="20"/>
          <w:szCs w:val="20"/>
        </w:rPr>
        <w:t>Outro fator interessante é a massiva incidência do termo “concubinato impuro” que é próprio do Código Civil de 1916, em jurisprudência de 2015 e 201</w:t>
      </w:r>
      <w:r w:rsidR="00945704">
        <w:rPr>
          <w:rFonts w:ascii="Arial" w:eastAsia="Arial" w:hAnsi="Arial" w:cs="Arial"/>
          <w:sz w:val="20"/>
          <w:szCs w:val="20"/>
        </w:rPr>
        <w:t>7</w:t>
      </w:r>
      <w:r>
        <w:rPr>
          <w:rFonts w:ascii="Arial" w:eastAsia="Arial" w:hAnsi="Arial" w:cs="Arial"/>
          <w:sz w:val="20"/>
          <w:szCs w:val="20"/>
        </w:rPr>
        <w:t>, esse fato aponta a falta de compromisso dos magistrados no que tange a atualização legal e doutrinária.</w:t>
      </w:r>
    </w:p>
    <w:p w14:paraId="566ABBF0" w14:textId="77777777" w:rsidR="00C43AA1" w:rsidRDefault="00F2604B" w:rsidP="004A144E">
      <w:pPr>
        <w:spacing w:line="240" w:lineRule="auto"/>
        <w:jc w:val="both"/>
        <w:rPr>
          <w:rFonts w:ascii="Arial" w:eastAsia="Arial" w:hAnsi="Arial" w:cs="Arial"/>
          <w:b/>
          <w:sz w:val="26"/>
          <w:szCs w:val="26"/>
        </w:rPr>
      </w:pPr>
      <w:r>
        <w:rPr>
          <w:rFonts w:ascii="Arial" w:eastAsia="Arial" w:hAnsi="Arial" w:cs="Arial"/>
          <w:b/>
          <w:sz w:val="26"/>
          <w:szCs w:val="26"/>
        </w:rPr>
        <w:t>Conclusões</w:t>
      </w:r>
    </w:p>
    <w:p w14:paraId="57B8BA68" w14:textId="77777777" w:rsidR="00250A8D" w:rsidRDefault="00250A8D" w:rsidP="004A144E">
      <w:pPr>
        <w:spacing w:line="240" w:lineRule="auto"/>
        <w:jc w:val="both"/>
        <w:rPr>
          <w:rFonts w:ascii="Arial" w:eastAsia="Arial" w:hAnsi="Arial" w:cs="Arial"/>
          <w:sz w:val="20"/>
          <w:szCs w:val="20"/>
        </w:rPr>
      </w:pPr>
      <w:r>
        <w:rPr>
          <w:rFonts w:ascii="Arial" w:eastAsia="Arial" w:hAnsi="Arial" w:cs="Arial"/>
          <w:sz w:val="20"/>
          <w:szCs w:val="20"/>
        </w:rPr>
        <w:t>A noção de União Estável Putativa, apesar de ser um conceito criado para propiciar amparo ao cônjuge de boa fé, não tem encontrado eco na jurisprudência do Superior Tribunal de Justiça, como apontam os resultados acima expostos.</w:t>
      </w:r>
    </w:p>
    <w:p w14:paraId="64D407EA" w14:textId="77777777" w:rsidR="00250A8D" w:rsidRDefault="00250A8D" w:rsidP="004A144E">
      <w:pPr>
        <w:spacing w:line="240" w:lineRule="auto"/>
        <w:jc w:val="both"/>
        <w:rPr>
          <w:rFonts w:ascii="Arial" w:eastAsia="Arial" w:hAnsi="Arial" w:cs="Arial"/>
          <w:sz w:val="20"/>
          <w:szCs w:val="20"/>
        </w:rPr>
      </w:pPr>
      <w:r>
        <w:rPr>
          <w:rFonts w:ascii="Arial" w:eastAsia="Arial" w:hAnsi="Arial" w:cs="Arial"/>
          <w:sz w:val="20"/>
          <w:szCs w:val="20"/>
        </w:rPr>
        <w:t xml:space="preserve">A falta de reconhecimento das uniões estáveis putativas no STJ nos leva a desenvolver </w:t>
      </w:r>
      <w:r w:rsidR="008E68E6">
        <w:rPr>
          <w:rFonts w:ascii="Arial" w:eastAsia="Arial" w:hAnsi="Arial" w:cs="Arial"/>
          <w:sz w:val="20"/>
          <w:szCs w:val="20"/>
        </w:rPr>
        <w:t>duas hipóteses</w:t>
      </w:r>
      <w:r>
        <w:rPr>
          <w:rFonts w:ascii="Arial" w:eastAsia="Arial" w:hAnsi="Arial" w:cs="Arial"/>
          <w:sz w:val="20"/>
          <w:szCs w:val="20"/>
        </w:rPr>
        <w:t xml:space="preserve"> que desencadeiam tal</w:t>
      </w:r>
      <w:r w:rsidR="008E68E6">
        <w:rPr>
          <w:rFonts w:ascii="Arial" w:eastAsia="Arial" w:hAnsi="Arial" w:cs="Arial"/>
          <w:sz w:val="20"/>
          <w:szCs w:val="20"/>
        </w:rPr>
        <w:t xml:space="preserve"> resultado. A</w:t>
      </w:r>
      <w:r>
        <w:rPr>
          <w:rFonts w:ascii="Arial" w:eastAsia="Arial" w:hAnsi="Arial" w:cs="Arial"/>
          <w:sz w:val="20"/>
          <w:szCs w:val="20"/>
        </w:rPr>
        <w:t xml:space="preserve"> primeir</w:t>
      </w:r>
      <w:r w:rsidR="008E68E6">
        <w:rPr>
          <w:rFonts w:ascii="Arial" w:eastAsia="Arial" w:hAnsi="Arial" w:cs="Arial"/>
          <w:sz w:val="20"/>
          <w:szCs w:val="20"/>
        </w:rPr>
        <w:t>a</w:t>
      </w:r>
      <w:r>
        <w:rPr>
          <w:rFonts w:ascii="Arial" w:eastAsia="Arial" w:hAnsi="Arial" w:cs="Arial"/>
          <w:sz w:val="20"/>
          <w:szCs w:val="20"/>
        </w:rPr>
        <w:t xml:space="preserve"> seria</w:t>
      </w:r>
      <w:r w:rsidR="008E68E6">
        <w:rPr>
          <w:rFonts w:ascii="Arial" w:eastAsia="Arial" w:hAnsi="Arial" w:cs="Arial"/>
          <w:sz w:val="20"/>
          <w:szCs w:val="20"/>
        </w:rPr>
        <w:t xml:space="preserve"> a efetiva</w:t>
      </w:r>
      <w:r>
        <w:rPr>
          <w:rFonts w:ascii="Arial" w:eastAsia="Arial" w:hAnsi="Arial" w:cs="Arial"/>
          <w:sz w:val="20"/>
          <w:szCs w:val="20"/>
        </w:rPr>
        <w:t xml:space="preserve"> falta de uniões estáveis putativas, levando em consideração que a doutrina majoritária considera a união estável putativa somente em casos de estrita boa-fé do companheiro – o que factualmente é pouco provável; a outra provável hipótese é a sobreposição do patrimônio em detrimento da </w:t>
      </w:r>
      <w:r w:rsidR="008E68E6">
        <w:rPr>
          <w:rFonts w:ascii="Arial" w:eastAsia="Arial" w:hAnsi="Arial" w:cs="Arial"/>
          <w:sz w:val="20"/>
          <w:szCs w:val="20"/>
        </w:rPr>
        <w:t>garantia</w:t>
      </w:r>
      <w:r>
        <w:rPr>
          <w:rFonts w:ascii="Arial" w:eastAsia="Arial" w:hAnsi="Arial" w:cs="Arial"/>
          <w:sz w:val="20"/>
          <w:szCs w:val="20"/>
        </w:rPr>
        <w:t xml:space="preserve"> do companheiro de boa-fé, tendo em vista que cerca de quatorze casos </w:t>
      </w:r>
      <w:r w:rsidR="008E68E6">
        <w:rPr>
          <w:rFonts w:ascii="Arial" w:eastAsia="Arial" w:hAnsi="Arial" w:cs="Arial"/>
          <w:sz w:val="20"/>
          <w:szCs w:val="20"/>
        </w:rPr>
        <w:t>citam um sua fundamentação o termo “enriquecimento ilícito”.</w:t>
      </w:r>
    </w:p>
    <w:p w14:paraId="35407792" w14:textId="77777777" w:rsidR="008E68E6" w:rsidRPr="00250A8D" w:rsidRDefault="00AA6D32" w:rsidP="004A144E">
      <w:pPr>
        <w:spacing w:line="240" w:lineRule="auto"/>
        <w:jc w:val="both"/>
        <w:rPr>
          <w:rFonts w:ascii="Arial" w:eastAsia="Arial" w:hAnsi="Arial" w:cs="Arial"/>
          <w:sz w:val="20"/>
          <w:szCs w:val="20"/>
        </w:rPr>
      </w:pPr>
      <w:r>
        <w:rPr>
          <w:rFonts w:ascii="Arial" w:eastAsia="Arial" w:hAnsi="Arial" w:cs="Arial"/>
          <w:sz w:val="20"/>
          <w:szCs w:val="20"/>
        </w:rPr>
        <w:t>A</w:t>
      </w:r>
      <w:r w:rsidR="008E68E6">
        <w:rPr>
          <w:rFonts w:ascii="Arial" w:eastAsia="Arial" w:hAnsi="Arial" w:cs="Arial"/>
          <w:sz w:val="20"/>
          <w:szCs w:val="20"/>
        </w:rPr>
        <w:t xml:space="preserve"> partir desses resultados, concluímos que a união estável putativa é interpretada pelos tribunais </w:t>
      </w:r>
      <w:r>
        <w:rPr>
          <w:rFonts w:ascii="Arial" w:eastAsia="Arial" w:hAnsi="Arial" w:cs="Arial"/>
          <w:sz w:val="20"/>
          <w:szCs w:val="20"/>
        </w:rPr>
        <w:t xml:space="preserve">de forma análoga ao casamento putativo, assumindo uma postura conservadora, mais patrimonial que garantista, resultando, </w:t>
      </w:r>
      <w:r>
        <w:rPr>
          <w:rFonts w:ascii="Arial" w:eastAsia="Arial" w:hAnsi="Arial" w:cs="Arial"/>
          <w:sz w:val="20"/>
          <w:szCs w:val="20"/>
        </w:rPr>
        <w:lastRenderedPageBreak/>
        <w:t xml:space="preserve">portanto em raríssimas deliberações a respeito da questão. </w:t>
      </w:r>
    </w:p>
    <w:p w14:paraId="0537F489" w14:textId="77777777" w:rsidR="00C43AA1" w:rsidRDefault="00F2604B" w:rsidP="004A144E">
      <w:pPr>
        <w:spacing w:line="240" w:lineRule="auto"/>
        <w:jc w:val="both"/>
        <w:rPr>
          <w:rFonts w:ascii="Arial" w:eastAsia="Arial" w:hAnsi="Arial" w:cs="Arial"/>
          <w:b/>
          <w:sz w:val="26"/>
          <w:szCs w:val="26"/>
        </w:rPr>
      </w:pPr>
      <w:r>
        <w:rPr>
          <w:rFonts w:ascii="Arial" w:eastAsia="Arial" w:hAnsi="Arial" w:cs="Arial"/>
          <w:b/>
          <w:sz w:val="26"/>
          <w:szCs w:val="26"/>
        </w:rPr>
        <w:t>Referências Bibliográficas</w:t>
      </w:r>
    </w:p>
    <w:p w14:paraId="4EACCCBD" w14:textId="77777777" w:rsidR="00CB397E" w:rsidRDefault="004313BB" w:rsidP="004A144E">
      <w:pPr>
        <w:spacing w:line="240" w:lineRule="auto"/>
        <w:jc w:val="both"/>
        <w:rPr>
          <w:rFonts w:ascii="Arial" w:eastAsia="Arial" w:hAnsi="Arial" w:cs="Arial"/>
          <w:sz w:val="20"/>
          <w:szCs w:val="20"/>
        </w:rPr>
      </w:pPr>
      <w:r>
        <w:rPr>
          <w:rFonts w:ascii="Arial" w:eastAsia="Arial" w:hAnsi="Arial" w:cs="Arial"/>
          <w:sz w:val="20"/>
          <w:szCs w:val="20"/>
        </w:rPr>
        <w:t xml:space="preserve">BORGHI, </w:t>
      </w:r>
      <w:r w:rsidR="00CB397E">
        <w:rPr>
          <w:rFonts w:ascii="Arial" w:eastAsia="Arial" w:hAnsi="Arial" w:cs="Arial"/>
          <w:sz w:val="20"/>
          <w:szCs w:val="20"/>
        </w:rPr>
        <w:t xml:space="preserve">H. </w:t>
      </w:r>
      <w:r w:rsidR="00CB397E" w:rsidRPr="00945704">
        <w:rPr>
          <w:rFonts w:ascii="Arial" w:eastAsia="Arial" w:hAnsi="Arial" w:cs="Arial"/>
          <w:i/>
          <w:sz w:val="20"/>
          <w:szCs w:val="20"/>
        </w:rPr>
        <w:t>Casamento e União Estável</w:t>
      </w:r>
      <w:r w:rsidR="00CB397E">
        <w:rPr>
          <w:rFonts w:ascii="Arial" w:eastAsia="Arial" w:hAnsi="Arial" w:cs="Arial"/>
          <w:sz w:val="20"/>
          <w:szCs w:val="20"/>
        </w:rPr>
        <w:t>: Formação, Eficácia e Dissolução</w:t>
      </w:r>
      <w:r>
        <w:rPr>
          <w:rFonts w:ascii="Arial" w:eastAsia="Arial" w:hAnsi="Arial" w:cs="Arial"/>
          <w:sz w:val="20"/>
          <w:szCs w:val="20"/>
        </w:rPr>
        <w:t>. São Paulo. J. de Oliveira. 2005.336p.</w:t>
      </w:r>
    </w:p>
    <w:p w14:paraId="56374580" w14:textId="77777777" w:rsidR="004313BB" w:rsidRDefault="004313BB" w:rsidP="004A144E">
      <w:pPr>
        <w:spacing w:line="240" w:lineRule="auto"/>
        <w:jc w:val="both"/>
        <w:rPr>
          <w:rFonts w:ascii="Arial" w:eastAsia="Arial" w:hAnsi="Arial" w:cs="Arial"/>
          <w:sz w:val="20"/>
          <w:szCs w:val="20"/>
        </w:rPr>
      </w:pPr>
      <w:r>
        <w:rPr>
          <w:rFonts w:ascii="Arial" w:eastAsia="Arial" w:hAnsi="Arial" w:cs="Arial"/>
          <w:sz w:val="20"/>
          <w:szCs w:val="20"/>
        </w:rPr>
        <w:t xml:space="preserve">DIAS, BERENICE, M. </w:t>
      </w:r>
      <w:r w:rsidRPr="00945704">
        <w:rPr>
          <w:rFonts w:ascii="Arial" w:eastAsia="Arial" w:hAnsi="Arial" w:cs="Arial"/>
          <w:i/>
          <w:sz w:val="20"/>
          <w:szCs w:val="20"/>
        </w:rPr>
        <w:t>Manual de Direito de Famílias</w:t>
      </w:r>
      <w:r>
        <w:rPr>
          <w:rFonts w:ascii="Arial" w:eastAsia="Arial" w:hAnsi="Arial" w:cs="Arial"/>
          <w:sz w:val="20"/>
          <w:szCs w:val="20"/>
        </w:rPr>
        <w:t>. São Paulo. Revista dos Tribunais. 2017. 712p.</w:t>
      </w:r>
    </w:p>
    <w:p w14:paraId="21722D59" w14:textId="77777777" w:rsidR="004313BB" w:rsidRDefault="004313BB" w:rsidP="004A144E">
      <w:pPr>
        <w:spacing w:line="240" w:lineRule="auto"/>
        <w:jc w:val="both"/>
        <w:rPr>
          <w:rFonts w:ascii="Arial" w:eastAsia="Arial" w:hAnsi="Arial" w:cs="Arial"/>
          <w:sz w:val="20"/>
          <w:szCs w:val="20"/>
        </w:rPr>
      </w:pPr>
      <w:r>
        <w:rPr>
          <w:rFonts w:ascii="Arial" w:eastAsia="Arial" w:hAnsi="Arial" w:cs="Arial"/>
          <w:sz w:val="20"/>
          <w:szCs w:val="20"/>
        </w:rPr>
        <w:t xml:space="preserve">NERY, ANDRADE, M.R. </w:t>
      </w:r>
      <w:r w:rsidRPr="00945704">
        <w:rPr>
          <w:rFonts w:ascii="Arial" w:eastAsia="Arial" w:hAnsi="Arial" w:cs="Arial"/>
          <w:i/>
          <w:sz w:val="20"/>
          <w:szCs w:val="20"/>
        </w:rPr>
        <w:t>Manual de Direito Civil: Família</w:t>
      </w:r>
      <w:r>
        <w:rPr>
          <w:rFonts w:ascii="Arial" w:eastAsia="Arial" w:hAnsi="Arial" w:cs="Arial"/>
          <w:sz w:val="20"/>
          <w:szCs w:val="20"/>
        </w:rPr>
        <w:t>. São Paulo. Revista dos Tribunais. 2013. 224p.</w:t>
      </w:r>
    </w:p>
    <w:p w14:paraId="34426DC0" w14:textId="77777777" w:rsidR="005A7987" w:rsidRDefault="00081944" w:rsidP="005A7987">
      <w:pPr>
        <w:jc w:val="both"/>
        <w:rPr>
          <w:rFonts w:ascii="Arial" w:hAnsi="Arial" w:cs="Arial"/>
          <w:sz w:val="20"/>
          <w:szCs w:val="20"/>
        </w:rPr>
      </w:pPr>
      <w:r w:rsidRPr="005A7987">
        <w:rPr>
          <w:rFonts w:ascii="Arial" w:hAnsi="Arial" w:cs="Arial"/>
          <w:sz w:val="20"/>
          <w:szCs w:val="20"/>
        </w:rPr>
        <w:t>BRASIL. Superior Tribunal de Justica. Agravo em Recurso Especial nº 959.729/RS – Rio Grande do Sul. Relator: Ministro Moura Ribeiro. </w:t>
      </w:r>
      <w:r w:rsidRPr="00945704">
        <w:rPr>
          <w:rFonts w:ascii="Arial" w:hAnsi="Arial" w:cs="Arial"/>
          <w:bCs/>
          <w:i/>
          <w:sz w:val="20"/>
          <w:szCs w:val="20"/>
        </w:rPr>
        <w:t>Pesquisa de Jurisprudência</w:t>
      </w:r>
      <w:r w:rsidRPr="005A7987">
        <w:rPr>
          <w:rFonts w:ascii="Arial" w:hAnsi="Arial" w:cs="Arial"/>
          <w:sz w:val="20"/>
          <w:szCs w:val="20"/>
        </w:rPr>
        <w:t>, Decis</w:t>
      </w:r>
      <w:r w:rsidR="005A7987">
        <w:rPr>
          <w:rFonts w:ascii="Arial" w:hAnsi="Arial" w:cs="Arial"/>
          <w:sz w:val="20"/>
          <w:szCs w:val="20"/>
        </w:rPr>
        <w:t>ã</w:t>
      </w:r>
      <w:r w:rsidRPr="005A7987">
        <w:rPr>
          <w:rFonts w:ascii="Arial" w:hAnsi="Arial" w:cs="Arial"/>
          <w:sz w:val="20"/>
          <w:szCs w:val="20"/>
        </w:rPr>
        <w:t>o Monocr</w:t>
      </w:r>
      <w:r w:rsidR="005A7987">
        <w:rPr>
          <w:rFonts w:ascii="Arial" w:hAnsi="Arial" w:cs="Arial"/>
          <w:sz w:val="20"/>
          <w:szCs w:val="20"/>
        </w:rPr>
        <w:t>á</w:t>
      </w:r>
      <w:r w:rsidRPr="005A7987">
        <w:rPr>
          <w:rFonts w:ascii="Arial" w:hAnsi="Arial" w:cs="Arial"/>
          <w:sz w:val="20"/>
          <w:szCs w:val="20"/>
        </w:rPr>
        <w:t>tica, 31 agosto 2016. Disponível em: &lt; http://www.stf.jus.br/portal/jurisprudencia/pesquisarJurisprudencia.asp &gt;. Acesso em: 21 nov. 2017</w:t>
      </w:r>
    </w:p>
    <w:p w14:paraId="73791DFD" w14:textId="77777777" w:rsidR="00081944" w:rsidRDefault="00081944" w:rsidP="005A7987">
      <w:pPr>
        <w:jc w:val="both"/>
        <w:rPr>
          <w:rFonts w:ascii="Arial" w:hAnsi="Arial" w:cs="Arial"/>
          <w:sz w:val="20"/>
          <w:szCs w:val="20"/>
        </w:rPr>
      </w:pPr>
      <w:r w:rsidRPr="005A7987">
        <w:rPr>
          <w:rFonts w:ascii="Arial" w:hAnsi="Arial" w:cs="Arial"/>
          <w:sz w:val="20"/>
          <w:szCs w:val="20"/>
        </w:rPr>
        <w:t>BRASIL. Superior Tribunal de Justica. Recurso Especial nº 1.599.883/RJ – Rio de Janeiro. Relator: Ministro Marco Aurelio Bellizze. </w:t>
      </w:r>
      <w:r w:rsidRPr="00945704">
        <w:rPr>
          <w:rFonts w:ascii="Arial" w:hAnsi="Arial" w:cs="Arial"/>
          <w:bCs/>
          <w:i/>
          <w:sz w:val="20"/>
          <w:szCs w:val="20"/>
        </w:rPr>
        <w:t>Pesquisa de Jurisprudência</w:t>
      </w:r>
      <w:r w:rsidRPr="005A7987">
        <w:rPr>
          <w:rFonts w:ascii="Arial" w:hAnsi="Arial" w:cs="Arial"/>
          <w:sz w:val="20"/>
          <w:szCs w:val="20"/>
        </w:rPr>
        <w:t xml:space="preserve">, Decisao Monocratica, </w:t>
      </w:r>
      <w:proofErr w:type="gramStart"/>
      <w:r w:rsidRPr="005A7987">
        <w:rPr>
          <w:rFonts w:ascii="Arial" w:hAnsi="Arial" w:cs="Arial"/>
          <w:sz w:val="20"/>
          <w:szCs w:val="20"/>
        </w:rPr>
        <w:t>06 junho 2016</w:t>
      </w:r>
      <w:proofErr w:type="gramEnd"/>
      <w:r w:rsidR="005A7987">
        <w:rPr>
          <w:rFonts w:ascii="Arial" w:hAnsi="Arial" w:cs="Arial"/>
          <w:sz w:val="20"/>
          <w:szCs w:val="20"/>
        </w:rPr>
        <w:t xml:space="preserve">. Disponível em: </w:t>
      </w:r>
      <w:r w:rsidRPr="005A7987">
        <w:rPr>
          <w:rFonts w:ascii="Arial" w:hAnsi="Arial" w:cs="Arial"/>
          <w:sz w:val="20"/>
          <w:szCs w:val="20"/>
        </w:rPr>
        <w:t>&lt; http://www.stf.jus.br/portal/jurisprudencia/pesquisarJurisprudencia.asp &gt;. Acesso em: 21 nov. 2017</w:t>
      </w:r>
    </w:p>
    <w:p w14:paraId="08805871" w14:textId="77777777" w:rsidR="003E252E" w:rsidRDefault="003E252E" w:rsidP="005A7987">
      <w:pPr>
        <w:jc w:val="both"/>
        <w:rPr>
          <w:rFonts w:ascii="Arial" w:hAnsi="Arial" w:cs="Arial"/>
          <w:sz w:val="20"/>
          <w:szCs w:val="20"/>
        </w:rPr>
      </w:pPr>
      <w:r w:rsidRPr="003E252E">
        <w:rPr>
          <w:rFonts w:ascii="Arial" w:hAnsi="Arial" w:cs="Arial"/>
          <w:sz w:val="20"/>
          <w:szCs w:val="20"/>
        </w:rPr>
        <w:t>BRASIL. Superior Tribunal de Justiça.</w:t>
      </w:r>
      <w:r>
        <w:rPr>
          <w:rFonts w:ascii="Arial" w:hAnsi="Arial" w:cs="Arial"/>
          <w:sz w:val="20"/>
          <w:szCs w:val="20"/>
        </w:rPr>
        <w:t xml:space="preserve"> </w:t>
      </w:r>
      <w:r w:rsidRPr="003E252E">
        <w:rPr>
          <w:rFonts w:ascii="Arial" w:hAnsi="Arial" w:cs="Arial"/>
          <w:sz w:val="20"/>
          <w:szCs w:val="20"/>
        </w:rPr>
        <w:t xml:space="preserve">Agravo em Recurso Especial nº 770.596/SP – São Paulo. Relator: Ministra Maria Isabel </w:t>
      </w:r>
      <w:proofErr w:type="spellStart"/>
      <w:r w:rsidRPr="003E252E">
        <w:rPr>
          <w:rFonts w:ascii="Arial" w:hAnsi="Arial" w:cs="Arial"/>
          <w:sz w:val="20"/>
          <w:szCs w:val="20"/>
        </w:rPr>
        <w:t>Gallotti</w:t>
      </w:r>
      <w:proofErr w:type="spellEnd"/>
      <w:r w:rsidRPr="003E252E">
        <w:rPr>
          <w:rFonts w:ascii="Arial" w:hAnsi="Arial" w:cs="Arial"/>
          <w:sz w:val="20"/>
          <w:szCs w:val="20"/>
        </w:rPr>
        <w:t xml:space="preserve">. </w:t>
      </w:r>
      <w:r w:rsidRPr="003E252E">
        <w:rPr>
          <w:rFonts w:ascii="Arial" w:hAnsi="Arial" w:cs="Arial"/>
          <w:i/>
          <w:sz w:val="20"/>
          <w:szCs w:val="20"/>
        </w:rPr>
        <w:t>Pesquisa de Jurisprudência</w:t>
      </w:r>
      <w:r w:rsidRPr="003E252E">
        <w:rPr>
          <w:rFonts w:ascii="Arial" w:hAnsi="Arial" w:cs="Arial"/>
          <w:sz w:val="20"/>
          <w:szCs w:val="20"/>
        </w:rPr>
        <w:t>, Decisão Monocrática, 20</w:t>
      </w:r>
      <w:r>
        <w:rPr>
          <w:rFonts w:ascii="Arial" w:hAnsi="Arial" w:cs="Arial"/>
          <w:sz w:val="20"/>
          <w:szCs w:val="20"/>
        </w:rPr>
        <w:t xml:space="preserve"> outubro 2015. Disponível em: &lt;</w:t>
      </w:r>
      <w:r w:rsidRPr="003E252E">
        <w:rPr>
          <w:rFonts w:ascii="Arial" w:hAnsi="Arial" w:cs="Arial"/>
          <w:sz w:val="20"/>
          <w:szCs w:val="20"/>
        </w:rPr>
        <w:t>http://www.stf.jus.br/portal/jurisprudencia/pesquisarJurisprudencia.asp &gt;. Acesso em: 21 nov. 2017</w:t>
      </w:r>
    </w:p>
    <w:p w14:paraId="3ECD9F53" w14:textId="77777777" w:rsidR="003E252E" w:rsidRPr="005A7987" w:rsidRDefault="003E252E" w:rsidP="005A7987">
      <w:pPr>
        <w:jc w:val="both"/>
        <w:rPr>
          <w:rFonts w:ascii="Arial" w:hAnsi="Arial" w:cs="Arial"/>
          <w:sz w:val="20"/>
          <w:szCs w:val="20"/>
        </w:rPr>
      </w:pPr>
    </w:p>
    <w:p w14:paraId="7165F66F" w14:textId="77777777" w:rsidR="00470F44" w:rsidRDefault="00470F44" w:rsidP="004A144E">
      <w:pPr>
        <w:spacing w:line="240" w:lineRule="auto"/>
        <w:jc w:val="both"/>
        <w:rPr>
          <w:rFonts w:ascii="Arial" w:eastAsia="Arial" w:hAnsi="Arial" w:cs="Arial"/>
          <w:b/>
          <w:sz w:val="26"/>
          <w:szCs w:val="26"/>
        </w:rPr>
      </w:pPr>
    </w:p>
    <w:sectPr w:rsidR="00470F44" w:rsidSect="004313BB">
      <w:type w:val="continuous"/>
      <w:pgSz w:w="11906" w:h="16838"/>
      <w:pgMar w:top="1871" w:right="1474" w:bottom="2381" w:left="1474" w:header="0" w:footer="720" w:gutter="0"/>
      <w:cols w:num="2" w:space="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A1"/>
    <w:rsid w:val="0003295C"/>
    <w:rsid w:val="00063357"/>
    <w:rsid w:val="00081944"/>
    <w:rsid w:val="00250A8D"/>
    <w:rsid w:val="003E252E"/>
    <w:rsid w:val="004313BB"/>
    <w:rsid w:val="00470F44"/>
    <w:rsid w:val="004A144E"/>
    <w:rsid w:val="005A7987"/>
    <w:rsid w:val="00897607"/>
    <w:rsid w:val="008A6BAF"/>
    <w:rsid w:val="008B3FC3"/>
    <w:rsid w:val="008E68E6"/>
    <w:rsid w:val="00945704"/>
    <w:rsid w:val="0098070B"/>
    <w:rsid w:val="00A8273E"/>
    <w:rsid w:val="00AA6D32"/>
    <w:rsid w:val="00AB134A"/>
    <w:rsid w:val="00B11D33"/>
    <w:rsid w:val="00C43AA1"/>
    <w:rsid w:val="00CB397E"/>
    <w:rsid w:val="00CE5DFD"/>
    <w:rsid w:val="00F2604B"/>
  </w:rsids>
  <m:mathPr>
    <m:mathFont m:val="Cambria Math"/>
    <m:brkBin m:val="before"/>
    <m:brkBinSub m:val="--"/>
    <m:smallFrac m:val="0"/>
    <m:dispDef/>
    <m:lMargin m:val="0"/>
    <m:rMargin m:val="0"/>
    <m:defJc m:val="centerGroup"/>
    <m:wrapIndent m:val="1440"/>
    <m:intLim m:val="subSup"/>
    <m:naryLim m:val="undOvr"/>
  </m:mathPr>
  <w:themeFontLang w:val="pt-BR"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C54A"/>
  <w15:docId w15:val="{3621F43A-B330-481E-8382-12AF9DAD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link">
    <w:name w:val="Hyperlink"/>
    <w:basedOn w:val="Fontepargpadro"/>
    <w:uiPriority w:val="99"/>
    <w:unhideWhenUsed/>
    <w:rsid w:val="00F906A4"/>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855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4013</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FDRP</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LuÃ­sa Martins Carneiro</dc:creator>
  <cp:lastModifiedBy>Cíntia Rosa Pereira de Lima</cp:lastModifiedBy>
  <cp:revision>2</cp:revision>
  <dcterms:created xsi:type="dcterms:W3CDTF">2017-11-28T11:28:00Z</dcterms:created>
  <dcterms:modified xsi:type="dcterms:W3CDTF">2017-11-28T11:28:00Z</dcterms:modified>
</cp:coreProperties>
</file>