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4010" w14:textId="77777777" w:rsidR="00F707CF" w:rsidRPr="00191CCD" w:rsidRDefault="00F707CF" w:rsidP="00F270E4">
      <w:pPr>
        <w:pStyle w:val="Ttulo2"/>
        <w:spacing w:before="92"/>
        <w:ind w:left="993"/>
        <w:jc w:val="center"/>
        <w:rPr>
          <w:lang w:val="pt-BR"/>
        </w:rPr>
      </w:pPr>
      <w:r w:rsidRPr="00191CCD">
        <w:rPr>
          <w:lang w:val="pt-BR"/>
        </w:rPr>
        <w:t>SÍNDROME DA ALIENAÇÃO PARENTAL E MEDIDAS JUDICIAIS</w:t>
      </w:r>
    </w:p>
    <w:p w14:paraId="1F3F90E3" w14:textId="77777777" w:rsidR="00F707CF" w:rsidRPr="00191CCD" w:rsidRDefault="00F707CF" w:rsidP="00F270E4">
      <w:pPr>
        <w:ind w:left="993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REPRESSIVAS</w:t>
      </w:r>
    </w:p>
    <w:p w14:paraId="64A61D98" w14:textId="77777777" w:rsidR="00F707CF" w:rsidRPr="00191CCD" w:rsidRDefault="00F707CF">
      <w:pPr>
        <w:pStyle w:val="Corpodetexto"/>
        <w:spacing w:before="10"/>
        <w:rPr>
          <w:b/>
          <w:sz w:val="24"/>
          <w:szCs w:val="24"/>
          <w:lang w:val="pt-BR"/>
        </w:rPr>
      </w:pPr>
    </w:p>
    <w:p w14:paraId="53CA34D9" w14:textId="77777777" w:rsidR="00F707CF" w:rsidRPr="00191CCD" w:rsidRDefault="00F707CF">
      <w:pPr>
        <w:ind w:left="601" w:right="607"/>
        <w:jc w:val="center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Cesar </w:t>
      </w:r>
      <w:proofErr w:type="spellStart"/>
      <w:r w:rsidRPr="00191CCD">
        <w:rPr>
          <w:sz w:val="24"/>
          <w:szCs w:val="24"/>
          <w:lang w:val="pt-BR"/>
        </w:rPr>
        <w:t>Andre</w:t>
      </w:r>
      <w:proofErr w:type="spellEnd"/>
      <w:r w:rsidRPr="00191CCD">
        <w:rPr>
          <w:sz w:val="24"/>
          <w:szCs w:val="24"/>
          <w:lang w:val="pt-BR"/>
        </w:rPr>
        <w:t xml:space="preserve"> Machado de Morais; João Marcos </w:t>
      </w:r>
      <w:proofErr w:type="spellStart"/>
      <w:r w:rsidRPr="00191CCD">
        <w:rPr>
          <w:sz w:val="24"/>
          <w:szCs w:val="24"/>
          <w:lang w:val="pt-BR"/>
        </w:rPr>
        <w:t>Brockelman</w:t>
      </w:r>
      <w:proofErr w:type="spellEnd"/>
      <w:r w:rsidRPr="00191CCD">
        <w:rPr>
          <w:sz w:val="24"/>
          <w:szCs w:val="24"/>
          <w:lang w:val="pt-BR"/>
        </w:rPr>
        <w:t xml:space="preserve"> Faria; Pedro Henrique Lisboa Fontana</w:t>
      </w:r>
    </w:p>
    <w:p w14:paraId="0F5A4080" w14:textId="77777777" w:rsidR="00F707CF" w:rsidRPr="00191CCD" w:rsidRDefault="00F707CF">
      <w:pPr>
        <w:rPr>
          <w:sz w:val="24"/>
          <w:szCs w:val="24"/>
          <w:lang w:val="pt-BR"/>
        </w:rPr>
        <w:sectPr w:rsidR="00F707CF" w:rsidRPr="00191CCD">
          <w:type w:val="continuous"/>
          <w:pgSz w:w="11910" w:h="16840"/>
          <w:pgMar w:top="1580" w:right="1360" w:bottom="280" w:left="1360" w:header="720" w:footer="720" w:gutter="0"/>
          <w:cols w:space="720"/>
        </w:sectPr>
      </w:pPr>
    </w:p>
    <w:p w14:paraId="146935E9" w14:textId="77777777" w:rsidR="00F707CF" w:rsidRPr="00191CCD" w:rsidRDefault="00F707CF">
      <w:pPr>
        <w:pStyle w:val="Corpodetexto"/>
        <w:spacing w:before="3"/>
        <w:rPr>
          <w:sz w:val="24"/>
          <w:szCs w:val="24"/>
          <w:lang w:val="pt-BR"/>
        </w:rPr>
      </w:pPr>
    </w:p>
    <w:p w14:paraId="2345E318" w14:textId="77777777" w:rsidR="00F707CF" w:rsidRPr="00191CCD" w:rsidRDefault="00F707CF">
      <w:pPr>
        <w:pStyle w:val="Ttulo1"/>
        <w:ind w:left="1626" w:right="1558"/>
        <w:jc w:val="center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>Objetivos</w:t>
      </w:r>
    </w:p>
    <w:p w14:paraId="4B25D314" w14:textId="77777777" w:rsidR="00F707CF" w:rsidRPr="00191CCD" w:rsidRDefault="00F707CF">
      <w:pPr>
        <w:pStyle w:val="Corpodetexto"/>
        <w:spacing w:before="118"/>
        <w:ind w:left="114" w:right="41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Parte-se do pressuposto de que transformações atinentes à instituição família contribuíram para </w:t>
      </w:r>
      <w:r>
        <w:rPr>
          <w:sz w:val="24"/>
          <w:szCs w:val="24"/>
          <w:lang w:val="pt-BR"/>
        </w:rPr>
        <w:t>a</w:t>
      </w:r>
      <w:r w:rsidRPr="00191CCD">
        <w:rPr>
          <w:sz w:val="24"/>
          <w:szCs w:val="24"/>
          <w:lang w:val="pt-BR"/>
        </w:rPr>
        <w:t xml:space="preserve"> Síndrome da Alienação Parental. De fato, </w:t>
      </w:r>
      <w:r>
        <w:rPr>
          <w:sz w:val="24"/>
          <w:szCs w:val="24"/>
          <w:lang w:val="pt-BR"/>
        </w:rPr>
        <w:t>a fungibilidade das relações</w:t>
      </w:r>
      <w:r w:rsidRPr="00191CCD">
        <w:rPr>
          <w:sz w:val="24"/>
          <w:szCs w:val="24"/>
          <w:lang w:val="pt-BR"/>
        </w:rPr>
        <w:t>, e com el</w:t>
      </w:r>
      <w:r>
        <w:rPr>
          <w:sz w:val="24"/>
          <w:szCs w:val="24"/>
          <w:lang w:val="pt-BR"/>
        </w:rPr>
        <w:t>a</w:t>
      </w:r>
      <w:r w:rsidRPr="00191CCD">
        <w:rPr>
          <w:sz w:val="24"/>
          <w:szCs w:val="24"/>
          <w:lang w:val="pt-BR"/>
        </w:rPr>
        <w:t xml:space="preserve"> as questões da guarda dos filhos, colaboraram para o comportamento que consiste na campanha difamatória de um dos cônjuges, pelo outro cônjuge, o que se faz geralmente com o objetivo de afastar emocionalmente o filho de um dos pais. No Brasil, o assunto teve destaque a partir da Lei 12.318 de 2010, a qual elenca uma série de medidas judiciais repressivas cabíveis para o caso de identificação da síndrome, </w:t>
      </w:r>
      <w:r>
        <w:rPr>
          <w:sz w:val="24"/>
          <w:szCs w:val="24"/>
          <w:lang w:val="pt-BR"/>
        </w:rPr>
        <w:t xml:space="preserve">e que são </w:t>
      </w:r>
      <w:r w:rsidRPr="00191CCD">
        <w:rPr>
          <w:sz w:val="24"/>
          <w:szCs w:val="24"/>
          <w:lang w:val="pt-BR"/>
        </w:rPr>
        <w:t>descritas entre os artigos 4º e 6º da referida lei. Nesse contexto, o trabalho em questão tem por objetivo analisar qualitativamente a aplicação deste dispositivo pelos tribunais, investigando qua</w:t>
      </w:r>
      <w:r w:rsidR="00F270E4">
        <w:rPr>
          <w:sz w:val="24"/>
          <w:szCs w:val="24"/>
          <w:lang w:val="pt-BR"/>
        </w:rPr>
        <w:t>is são as medidas preventivas e</w:t>
      </w:r>
      <w:r w:rsidRPr="00191CCD">
        <w:rPr>
          <w:sz w:val="24"/>
          <w:szCs w:val="24"/>
          <w:lang w:val="pt-BR"/>
        </w:rPr>
        <w:t xml:space="preserve"> repressivas usadas pelos juízes.</w:t>
      </w:r>
    </w:p>
    <w:p w14:paraId="051F8B6C" w14:textId="77777777" w:rsidR="00F707CF" w:rsidRPr="00191CCD" w:rsidRDefault="00F707CF">
      <w:pPr>
        <w:pStyle w:val="Corpodetexto"/>
        <w:rPr>
          <w:sz w:val="24"/>
          <w:szCs w:val="24"/>
          <w:lang w:val="pt-BR"/>
        </w:rPr>
      </w:pPr>
    </w:p>
    <w:p w14:paraId="263469F4" w14:textId="77777777" w:rsidR="00F707CF" w:rsidRPr="00191CCD" w:rsidRDefault="00F707CF">
      <w:pPr>
        <w:pStyle w:val="Ttulo1"/>
        <w:ind w:left="622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>Métodos e Procedimentos</w:t>
      </w:r>
    </w:p>
    <w:p w14:paraId="43D18690" w14:textId="77777777" w:rsidR="00F707CF" w:rsidRPr="00191CCD" w:rsidRDefault="00F707CF">
      <w:pPr>
        <w:pStyle w:val="Corpodetexto"/>
        <w:spacing w:before="120"/>
        <w:ind w:left="114" w:right="38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O trabalho é de natureza exploratória, </w:t>
      </w:r>
      <w:r>
        <w:rPr>
          <w:sz w:val="24"/>
          <w:szCs w:val="24"/>
          <w:lang w:val="pt-BR"/>
        </w:rPr>
        <w:t>e tem caráter empírico, vez que</w:t>
      </w:r>
      <w:r w:rsidRPr="00191CCD">
        <w:rPr>
          <w:sz w:val="24"/>
          <w:szCs w:val="24"/>
          <w:lang w:val="pt-BR"/>
        </w:rPr>
        <w:t xml:space="preserve"> utiliza como método a pesquisa jurisprudencial. Na primeira etapa </w:t>
      </w:r>
      <w:r>
        <w:rPr>
          <w:sz w:val="24"/>
          <w:szCs w:val="24"/>
          <w:lang w:val="pt-BR"/>
        </w:rPr>
        <w:t>foram</w:t>
      </w:r>
      <w:r w:rsidRPr="00191CCD">
        <w:rPr>
          <w:sz w:val="24"/>
          <w:szCs w:val="24"/>
          <w:lang w:val="pt-BR"/>
        </w:rPr>
        <w:t xml:space="preserve"> levantados julgados referentes ao tema da alienação parental, o que </w:t>
      </w:r>
      <w:r>
        <w:rPr>
          <w:sz w:val="24"/>
          <w:szCs w:val="24"/>
          <w:lang w:val="pt-BR"/>
        </w:rPr>
        <w:t>se fez</w:t>
      </w:r>
      <w:r w:rsidRPr="00191CCD">
        <w:rPr>
          <w:sz w:val="24"/>
          <w:szCs w:val="24"/>
          <w:lang w:val="pt-BR"/>
        </w:rPr>
        <w:t xml:space="preserve"> a partir da jurisprudência do TJ-SP, TJ- BA e TJ-RS. </w:t>
      </w:r>
      <w:r>
        <w:rPr>
          <w:sz w:val="24"/>
          <w:szCs w:val="24"/>
          <w:lang w:val="pt-BR"/>
        </w:rPr>
        <w:t xml:space="preserve">Na segunda etapa, foram quantificados os resultados </w:t>
      </w:r>
      <w:r w:rsidRPr="00191CCD">
        <w:rPr>
          <w:sz w:val="24"/>
          <w:szCs w:val="24"/>
          <w:lang w:val="pt-BR"/>
        </w:rPr>
        <w:t>qualitativo</w:t>
      </w:r>
      <w:r>
        <w:rPr>
          <w:sz w:val="24"/>
          <w:szCs w:val="24"/>
          <w:lang w:val="pt-BR"/>
        </w:rPr>
        <w:t>s</w:t>
      </w:r>
      <w:r w:rsidRPr="00191CCD">
        <w:rPr>
          <w:sz w:val="24"/>
          <w:szCs w:val="24"/>
          <w:lang w:val="pt-BR"/>
        </w:rPr>
        <w:t xml:space="preserve"> obtido</w:t>
      </w:r>
      <w:r>
        <w:rPr>
          <w:sz w:val="24"/>
          <w:szCs w:val="24"/>
          <w:lang w:val="pt-BR"/>
        </w:rPr>
        <w:t>s, a fim de se</w:t>
      </w:r>
      <w:r w:rsidRPr="00191CCD">
        <w:rPr>
          <w:sz w:val="24"/>
          <w:szCs w:val="24"/>
          <w:lang w:val="pt-BR"/>
        </w:rPr>
        <w:t xml:space="preserve"> analisar as medidas judiciais mais </w:t>
      </w:r>
      <w:proofErr w:type="gramStart"/>
      <w:r w:rsidRPr="00191CCD">
        <w:rPr>
          <w:sz w:val="24"/>
          <w:szCs w:val="24"/>
          <w:lang w:val="pt-BR"/>
        </w:rPr>
        <w:t>recorrentes  à</w:t>
      </w:r>
      <w:proofErr w:type="gramEnd"/>
      <w:r w:rsidRPr="00191CCD">
        <w:rPr>
          <w:sz w:val="24"/>
          <w:szCs w:val="24"/>
          <w:lang w:val="pt-BR"/>
        </w:rPr>
        <w:t xml:space="preserve"> luz dos estudos de cunho psicossocial sobre o</w:t>
      </w:r>
      <w:r w:rsidRPr="00191CCD">
        <w:rPr>
          <w:spacing w:val="-2"/>
          <w:sz w:val="24"/>
          <w:szCs w:val="24"/>
          <w:lang w:val="pt-BR"/>
        </w:rPr>
        <w:t xml:space="preserve"> </w:t>
      </w:r>
      <w:r w:rsidRPr="00191CCD">
        <w:rPr>
          <w:sz w:val="24"/>
          <w:szCs w:val="24"/>
          <w:lang w:val="pt-BR"/>
        </w:rPr>
        <w:t>tema.</w:t>
      </w:r>
    </w:p>
    <w:p w14:paraId="582422BE" w14:textId="77777777" w:rsidR="00F707CF" w:rsidRPr="00191CCD" w:rsidRDefault="00F707CF">
      <w:pPr>
        <w:pStyle w:val="Corpodetexto"/>
        <w:spacing w:before="10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br w:type="column"/>
      </w:r>
    </w:p>
    <w:p w14:paraId="7D55CA75" w14:textId="77777777" w:rsidR="00F707CF" w:rsidRPr="00191CCD" w:rsidRDefault="00F707CF">
      <w:pPr>
        <w:pStyle w:val="Ttulo1"/>
        <w:ind w:left="659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>Resultados e Conclusões</w:t>
      </w:r>
    </w:p>
    <w:p w14:paraId="5F44D8DF" w14:textId="77777777" w:rsidR="00F707CF" w:rsidRPr="00191CCD" w:rsidRDefault="00F707CF">
      <w:pPr>
        <w:pStyle w:val="Corpodetexto"/>
        <w:spacing w:before="117"/>
        <w:ind w:left="114" w:right="111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A partir da análise dos julgados constata-se que nos três tribunais selecionados a medida judicial mais utilizada é a aplicação da convivência da vítima com o genitor prejudicado, o que, em alguns casos, resulta na inversão da guarda. Conclui-se que essa medida judicial é vantajosa do ponto de vista psicossocial, vez que permite ao filho acesso ao genitor sobre o qual recai a difamação, fato este que, ao que parece, contribui para a atenuação dos prejuízos emocionais e psicológicos da vítima. Pode-se afirmar que a medida judicial em questão tem natureza restaurativa, o </w:t>
      </w:r>
      <w:proofErr w:type="gramStart"/>
      <w:r w:rsidRPr="00191CCD">
        <w:rPr>
          <w:sz w:val="24"/>
          <w:szCs w:val="24"/>
          <w:lang w:val="pt-BR"/>
        </w:rPr>
        <w:t>que</w:t>
      </w:r>
      <w:proofErr w:type="gramEnd"/>
      <w:r w:rsidRPr="00191CCD">
        <w:rPr>
          <w:sz w:val="24"/>
          <w:szCs w:val="24"/>
          <w:lang w:val="pt-BR"/>
        </w:rPr>
        <w:t xml:space="preserve"> representa um avanço no comportamento judiciário do país; por outro lado, a ausência de outras medidas judiciais, também importantes, aponta para a falta de manejo e conhecimento da Lei de Alienação Parental pelos operadores do</w:t>
      </w:r>
      <w:r w:rsidRPr="00191CCD">
        <w:rPr>
          <w:spacing w:val="-2"/>
          <w:sz w:val="24"/>
          <w:szCs w:val="24"/>
          <w:lang w:val="pt-BR"/>
        </w:rPr>
        <w:t xml:space="preserve"> </w:t>
      </w:r>
      <w:r w:rsidRPr="00191CCD">
        <w:rPr>
          <w:sz w:val="24"/>
          <w:szCs w:val="24"/>
          <w:lang w:val="pt-BR"/>
        </w:rPr>
        <w:t>direito.</w:t>
      </w:r>
    </w:p>
    <w:p w14:paraId="6F40D247" w14:textId="77777777" w:rsidR="00F707CF" w:rsidRPr="00F270E4" w:rsidRDefault="00F707CF">
      <w:pPr>
        <w:pStyle w:val="Corpodetexto"/>
        <w:spacing w:before="122"/>
        <w:jc w:val="center"/>
        <w:rPr>
          <w:sz w:val="24"/>
          <w:szCs w:val="24"/>
          <w:lang w:val="pt-BR"/>
        </w:rPr>
      </w:pPr>
      <w:r w:rsidRPr="00F270E4">
        <w:rPr>
          <w:w w:val="99"/>
          <w:sz w:val="24"/>
          <w:szCs w:val="24"/>
          <w:lang w:val="pt-BR"/>
        </w:rPr>
        <w:t>.</w:t>
      </w:r>
    </w:p>
    <w:p w14:paraId="24CFE3E2" w14:textId="77777777" w:rsidR="00F707CF" w:rsidRPr="00F270E4" w:rsidRDefault="00F707CF">
      <w:pPr>
        <w:pStyle w:val="Ttulo1"/>
        <w:spacing w:before="120"/>
        <w:rPr>
          <w:sz w:val="24"/>
          <w:szCs w:val="24"/>
          <w:lang w:val="pt-BR"/>
        </w:rPr>
      </w:pPr>
      <w:r w:rsidRPr="00F270E4">
        <w:rPr>
          <w:sz w:val="24"/>
          <w:szCs w:val="24"/>
          <w:lang w:val="pt-BR"/>
        </w:rPr>
        <w:t>Referências Bibliográficas</w:t>
      </w:r>
    </w:p>
    <w:p w14:paraId="566612C4" w14:textId="77777777" w:rsidR="00F270E4" w:rsidRDefault="00F707CF">
      <w:pPr>
        <w:pStyle w:val="Corpodetexto"/>
        <w:spacing w:before="119"/>
        <w:ind w:left="114" w:right="111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BOTTEGA, Clarissa. </w:t>
      </w:r>
      <w:r w:rsidRPr="00191CCD">
        <w:rPr>
          <w:i/>
          <w:sz w:val="24"/>
          <w:szCs w:val="24"/>
          <w:lang w:val="pt-BR"/>
        </w:rPr>
        <w:t>A evolução do divórci</w:t>
      </w:r>
      <w:r>
        <w:rPr>
          <w:i/>
          <w:sz w:val="24"/>
          <w:szCs w:val="24"/>
          <w:lang w:val="pt-BR"/>
        </w:rPr>
        <w:t xml:space="preserve">o no direito brasileiro e as novas tendências da dissolução matrimonial. </w:t>
      </w:r>
      <w:r>
        <w:rPr>
          <w:sz w:val="24"/>
          <w:szCs w:val="24"/>
          <w:lang w:val="pt-BR"/>
        </w:rPr>
        <w:t>Cuiabá: Revista Jurídica da Universidade de Cuiabá, 2010, p. 31 – 36.</w:t>
      </w:r>
      <w:r w:rsidRPr="00191CCD">
        <w:rPr>
          <w:sz w:val="24"/>
          <w:szCs w:val="24"/>
          <w:lang w:val="pt-BR"/>
        </w:rPr>
        <w:t xml:space="preserve"> </w:t>
      </w:r>
    </w:p>
    <w:p w14:paraId="24EAD5DA" w14:textId="77777777" w:rsidR="00F270E4" w:rsidRDefault="00F707CF">
      <w:pPr>
        <w:pStyle w:val="Corpodetexto"/>
        <w:spacing w:before="119"/>
        <w:ind w:left="114" w:right="111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>CUENCA, José Manoel</w:t>
      </w:r>
      <w:r>
        <w:rPr>
          <w:sz w:val="24"/>
          <w:szCs w:val="24"/>
          <w:lang w:val="pt-BR"/>
        </w:rPr>
        <w:t xml:space="preserve"> Aguilar</w:t>
      </w:r>
      <w:r w:rsidRPr="00191CCD">
        <w:rPr>
          <w:sz w:val="24"/>
          <w:szCs w:val="24"/>
          <w:lang w:val="pt-BR"/>
        </w:rPr>
        <w:t xml:space="preserve">. </w:t>
      </w:r>
      <w:r w:rsidRPr="00191CCD">
        <w:rPr>
          <w:i/>
          <w:sz w:val="24"/>
          <w:szCs w:val="24"/>
          <w:lang w:val="pt-BR"/>
        </w:rPr>
        <w:t>Síndrome da Alienação Parenta</w:t>
      </w:r>
      <w:r w:rsidRPr="00191CCD">
        <w:rPr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: o uso das crianças no processo de separação. São Paulo: Lex Nova, 2005, 5 p.</w:t>
      </w:r>
      <w:r w:rsidRPr="00191CCD">
        <w:rPr>
          <w:sz w:val="24"/>
          <w:szCs w:val="24"/>
          <w:lang w:val="pt-BR"/>
        </w:rPr>
        <w:t xml:space="preserve"> </w:t>
      </w:r>
    </w:p>
    <w:p w14:paraId="601ACE35" w14:textId="77777777" w:rsidR="00F270E4" w:rsidRDefault="00F270E4">
      <w:pPr>
        <w:pStyle w:val="Corpodetexto"/>
        <w:spacing w:before="119"/>
        <w:ind w:left="114" w:right="111"/>
        <w:jc w:val="both"/>
        <w:rPr>
          <w:sz w:val="24"/>
          <w:szCs w:val="24"/>
        </w:rPr>
      </w:pPr>
      <w:r>
        <w:rPr>
          <w:sz w:val="24"/>
          <w:szCs w:val="24"/>
          <w:lang w:val="en"/>
        </w:rPr>
        <w:t>GARDNER,</w:t>
      </w:r>
      <w:r w:rsidR="00F707CF" w:rsidRPr="00F270E4">
        <w:rPr>
          <w:sz w:val="24"/>
          <w:szCs w:val="24"/>
          <w:lang w:val="en"/>
        </w:rPr>
        <w:t xml:space="preserve"> M.D, Richard</w:t>
      </w:r>
      <w:r w:rsidR="00F707CF" w:rsidRPr="00F270E4">
        <w:rPr>
          <w:i/>
          <w:sz w:val="24"/>
          <w:szCs w:val="24"/>
          <w:lang w:val="en"/>
        </w:rPr>
        <w:t xml:space="preserve">. </w:t>
      </w:r>
      <w:r w:rsidR="00F707CF" w:rsidRPr="003E397E">
        <w:rPr>
          <w:i/>
          <w:sz w:val="24"/>
          <w:szCs w:val="24"/>
        </w:rPr>
        <w:t xml:space="preserve">Does DSM-IV Have Equivalents for the Parental Alienation Syndrome (PAS) </w:t>
      </w:r>
      <w:proofErr w:type="gramStart"/>
      <w:r w:rsidR="00F707CF" w:rsidRPr="003E397E">
        <w:rPr>
          <w:i/>
          <w:sz w:val="24"/>
          <w:szCs w:val="24"/>
        </w:rPr>
        <w:t>Diagnosis?.</w:t>
      </w:r>
      <w:proofErr w:type="gramEnd"/>
      <w:r w:rsidR="00F707CF" w:rsidRPr="003E397E">
        <w:rPr>
          <w:i/>
          <w:sz w:val="24"/>
          <w:szCs w:val="24"/>
        </w:rPr>
        <w:t xml:space="preserve"> </w:t>
      </w:r>
      <w:r w:rsidR="00F707CF" w:rsidRPr="00312366">
        <w:rPr>
          <w:sz w:val="24"/>
          <w:szCs w:val="24"/>
        </w:rPr>
        <w:t>American Journal of Family Therapy</w:t>
      </w:r>
      <w:r w:rsidR="00F707CF" w:rsidRPr="00312366">
        <w:rPr>
          <w:i/>
          <w:sz w:val="24"/>
          <w:szCs w:val="24"/>
        </w:rPr>
        <w:t xml:space="preserve">, </w:t>
      </w:r>
      <w:r w:rsidR="00F707CF" w:rsidRPr="00312366">
        <w:rPr>
          <w:sz w:val="24"/>
          <w:szCs w:val="24"/>
        </w:rPr>
        <w:t>2003</w:t>
      </w:r>
      <w:r w:rsidR="00F707CF">
        <w:rPr>
          <w:sz w:val="24"/>
          <w:szCs w:val="24"/>
        </w:rPr>
        <w:t>,</w:t>
      </w:r>
      <w:r w:rsidR="00F707CF" w:rsidRPr="00312366">
        <w:rPr>
          <w:sz w:val="24"/>
          <w:szCs w:val="24"/>
        </w:rPr>
        <w:t xml:space="preserve"> p. 1-21.</w:t>
      </w:r>
    </w:p>
    <w:p w14:paraId="7F65A210" w14:textId="77777777" w:rsidR="00F270E4" w:rsidRDefault="00F707CF">
      <w:pPr>
        <w:pStyle w:val="Corpodetexto"/>
        <w:spacing w:before="119"/>
        <w:ind w:left="114" w:right="111"/>
        <w:jc w:val="both"/>
        <w:rPr>
          <w:sz w:val="24"/>
          <w:szCs w:val="24"/>
          <w:lang w:val="pt-BR"/>
        </w:rPr>
      </w:pPr>
      <w:r w:rsidRPr="00F270E4">
        <w:rPr>
          <w:sz w:val="24"/>
          <w:szCs w:val="24"/>
          <w:lang w:val="pt-BR"/>
        </w:rPr>
        <w:t xml:space="preserve">HIRONAKA, Giselda Maria Fernandes Novaes. </w:t>
      </w:r>
      <w:r w:rsidRPr="00312366">
        <w:rPr>
          <w:i/>
          <w:sz w:val="24"/>
          <w:szCs w:val="24"/>
          <w:lang w:val="pt-BR"/>
        </w:rPr>
        <w:t xml:space="preserve">Família e Casamento em </w:t>
      </w:r>
      <w:r w:rsidRPr="00312366">
        <w:rPr>
          <w:i/>
          <w:sz w:val="24"/>
          <w:szCs w:val="24"/>
          <w:lang w:val="pt-BR"/>
        </w:rPr>
        <w:lastRenderedPageBreak/>
        <w:t xml:space="preserve">evolução. </w:t>
      </w:r>
      <w:r>
        <w:rPr>
          <w:sz w:val="24"/>
          <w:szCs w:val="24"/>
          <w:lang w:val="pt-BR"/>
        </w:rPr>
        <w:t>Porto Alegre: Revista Brasileira de Direito de Família, 1999.</w:t>
      </w:r>
    </w:p>
    <w:p w14:paraId="790745B5" w14:textId="77777777" w:rsidR="00F707CF" w:rsidRPr="00312366" w:rsidRDefault="00F707CF">
      <w:pPr>
        <w:pStyle w:val="Corpodetexto"/>
        <w:spacing w:before="119"/>
        <w:ind w:left="114" w:right="111"/>
        <w:jc w:val="both"/>
        <w:rPr>
          <w:sz w:val="24"/>
          <w:szCs w:val="24"/>
          <w:lang w:val="pt-BR"/>
        </w:rPr>
      </w:pPr>
      <w:r w:rsidRPr="00191CCD">
        <w:rPr>
          <w:sz w:val="24"/>
          <w:szCs w:val="24"/>
          <w:lang w:val="pt-BR"/>
        </w:rPr>
        <w:t xml:space="preserve">QUEIROZ, Edson. </w:t>
      </w:r>
      <w:r w:rsidRPr="00191CCD">
        <w:rPr>
          <w:i/>
          <w:sz w:val="24"/>
          <w:szCs w:val="24"/>
          <w:lang w:val="pt-BR"/>
        </w:rPr>
        <w:t xml:space="preserve">A tutela constitucional da criança na depressão </w:t>
      </w:r>
      <w:proofErr w:type="gramStart"/>
      <w:r w:rsidRPr="00191CCD">
        <w:rPr>
          <w:i/>
          <w:sz w:val="24"/>
          <w:szCs w:val="24"/>
          <w:lang w:val="pt-BR"/>
        </w:rPr>
        <w:t>pós parto</w:t>
      </w:r>
      <w:proofErr w:type="gramEnd"/>
      <w:r w:rsidRPr="00191CCD">
        <w:rPr>
          <w:i/>
          <w:sz w:val="24"/>
          <w:szCs w:val="24"/>
          <w:lang w:val="pt-BR"/>
        </w:rPr>
        <w:t xml:space="preserve"> masculina</w:t>
      </w:r>
      <w:r w:rsidRPr="00191CCD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São Paulo: </w:t>
      </w:r>
      <w:proofErr w:type="spellStart"/>
      <w:r>
        <w:rPr>
          <w:sz w:val="24"/>
          <w:szCs w:val="24"/>
          <w:lang w:val="pt-BR"/>
        </w:rPr>
        <w:t>Jusnavegandi</w:t>
      </w:r>
      <w:proofErr w:type="spellEnd"/>
      <w:r>
        <w:rPr>
          <w:sz w:val="24"/>
          <w:szCs w:val="24"/>
          <w:lang w:val="pt-BR"/>
        </w:rPr>
        <w:t xml:space="preserve">, 2008. Disponível em: &lt;&lt; </w:t>
      </w:r>
      <w:hyperlink r:id="rId4" w:history="1">
        <w:r w:rsidRPr="00312366">
          <w:rPr>
            <w:rStyle w:val="Hiperlink"/>
            <w:rFonts w:cs="Arial"/>
            <w:color w:val="auto"/>
            <w:sz w:val="24"/>
            <w:szCs w:val="24"/>
            <w:u w:val="none"/>
            <w:lang w:val="pt-BR"/>
          </w:rPr>
          <w:t>http://jus.com.br/revista/texto/13360/a-tutela-constitucional-da-crianca-na-</w:t>
        </w:r>
        <w:bookmarkStart w:id="0" w:name="_GoBack"/>
        <w:bookmarkEnd w:id="0"/>
        <w:r w:rsidRPr="00312366">
          <w:rPr>
            <w:rStyle w:val="Hiperlink"/>
            <w:rFonts w:cs="Arial"/>
            <w:color w:val="auto"/>
            <w:sz w:val="24"/>
            <w:szCs w:val="24"/>
            <w:u w:val="none"/>
            <w:lang w:val="pt-BR"/>
          </w:rPr>
          <w:t>depressao-pos-parto-masculina</w:t>
        </w:r>
      </w:hyperlink>
      <w:r w:rsidRPr="00312366">
        <w:rPr>
          <w:sz w:val="24"/>
          <w:szCs w:val="24"/>
          <w:lang w:val="pt-BR"/>
        </w:rPr>
        <w:t xml:space="preserve"> &gt;&gt; </w:t>
      </w:r>
    </w:p>
    <w:sectPr w:rsidR="00F707CF" w:rsidRPr="00312366" w:rsidSect="00515584">
      <w:type w:val="continuous"/>
      <w:pgSz w:w="11910" w:h="16840"/>
      <w:pgMar w:top="1580" w:right="1360" w:bottom="280" w:left="1360" w:header="720" w:footer="720" w:gutter="0"/>
      <w:cols w:num="2" w:space="720" w:equalWidth="0">
        <w:col w:w="4409" w:space="297"/>
        <w:col w:w="44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84"/>
    <w:rsid w:val="00024050"/>
    <w:rsid w:val="00191CCD"/>
    <w:rsid w:val="00312366"/>
    <w:rsid w:val="003E2E70"/>
    <w:rsid w:val="003E397E"/>
    <w:rsid w:val="00515584"/>
    <w:rsid w:val="00A07BC6"/>
    <w:rsid w:val="00BC0E88"/>
    <w:rsid w:val="00C41AE3"/>
    <w:rsid w:val="00F270E4"/>
    <w:rsid w:val="00F7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B162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5584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515584"/>
    <w:pPr>
      <w:ind w:left="608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9"/>
    <w:qFormat/>
    <w:rsid w:val="00515584"/>
    <w:pPr>
      <w:ind w:left="97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586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586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51558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586D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515584"/>
  </w:style>
  <w:style w:type="paragraph" w:customStyle="1" w:styleId="TableParagraph">
    <w:name w:val="Table Paragraph"/>
    <w:basedOn w:val="Normal"/>
    <w:uiPriority w:val="99"/>
    <w:rsid w:val="00515584"/>
  </w:style>
  <w:style w:type="character" w:styleId="Hiperlink">
    <w:name w:val="Hyperlink"/>
    <w:basedOn w:val="Fontepargpadro"/>
    <w:uiPriority w:val="99"/>
    <w:rsid w:val="003123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jus.com.br/revista/texto/13360/a-tutela-constitucional-da-crianca-na-depressao-pos-parto-masculin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2840</Characters>
  <Application>Microsoft Macintosh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SÍNDROME DA ALIENAÇÃO PARENTAL E MEDIDAS JUDICIAIS</dc:title>
  <dc:subject/>
  <dc:creator>Cíntia Rosa Pereira de Lima</dc:creator>
  <cp:keywords/>
  <dc:description/>
  <cp:lastModifiedBy>Cíntia Rosa Pereira de Lima</cp:lastModifiedBy>
  <cp:revision>2</cp:revision>
  <dcterms:created xsi:type="dcterms:W3CDTF">2017-11-28T13:33:00Z</dcterms:created>
  <dcterms:modified xsi:type="dcterms:W3CDTF">2017-11-28T13:33:00Z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