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83A12" w14:textId="77777777" w:rsidR="00FD6B96" w:rsidRDefault="00FD6B96">
      <w:pPr>
        <w:pStyle w:val="Corpodetexto"/>
        <w:ind w:left="114"/>
        <w:jc w:val="left"/>
        <w:rPr>
          <w:rFonts w:ascii="Times New Roman" w:hAnsi="Times New Roman"/>
        </w:rPr>
      </w:pPr>
      <w:bookmarkStart w:id="0" w:name="_GoBack"/>
      <w:bookmarkEnd w:id="0"/>
    </w:p>
    <w:p w14:paraId="00E88CED" w14:textId="77777777" w:rsidR="00FD6B96" w:rsidRDefault="00FD6B96">
      <w:pPr>
        <w:pStyle w:val="Corpodetexto"/>
        <w:spacing w:before="3"/>
        <w:ind w:left="0"/>
        <w:jc w:val="left"/>
        <w:rPr>
          <w:rFonts w:ascii="Times New Roman" w:hAnsi="Times New Roman"/>
          <w:sz w:val="21"/>
        </w:rPr>
      </w:pPr>
    </w:p>
    <w:p w14:paraId="7472FF0A" w14:textId="77777777" w:rsidR="00FD6B96" w:rsidRPr="0082532D" w:rsidRDefault="0082532D">
      <w:pPr>
        <w:pStyle w:val="Ttulo1"/>
        <w:ind w:left="0" w:right="296"/>
        <w:rPr>
          <w:lang w:val="pt-BR"/>
        </w:rPr>
      </w:pPr>
      <w:r w:rsidRPr="0082532D">
        <w:rPr>
          <w:lang w:val="pt-BR"/>
        </w:rPr>
        <w:t>SITUAÇÃO DO REGISTRO DE FAMÍLIAS POLIAFETIVAS NO BRASIL</w:t>
      </w:r>
    </w:p>
    <w:p w14:paraId="7AAF2382" w14:textId="77777777" w:rsidR="00FD6B96" w:rsidRPr="0082532D" w:rsidRDefault="0082532D">
      <w:pPr>
        <w:spacing w:before="240"/>
        <w:ind w:left="303" w:right="296"/>
        <w:jc w:val="center"/>
        <w:rPr>
          <w:lang w:val="pt-BR"/>
        </w:rPr>
      </w:pPr>
      <w:r w:rsidRPr="0082532D">
        <w:rPr>
          <w:sz w:val="26"/>
          <w:lang w:val="pt-BR"/>
        </w:rPr>
        <w:t xml:space="preserve">Gabriel Garcia Domingues, Heloisa </w:t>
      </w:r>
      <w:proofErr w:type="spellStart"/>
      <w:r w:rsidRPr="0082532D">
        <w:rPr>
          <w:sz w:val="26"/>
          <w:lang w:val="pt-BR"/>
        </w:rPr>
        <w:t>Krisman</w:t>
      </w:r>
      <w:proofErr w:type="spellEnd"/>
      <w:r w:rsidRPr="0082532D">
        <w:rPr>
          <w:sz w:val="26"/>
          <w:lang w:val="pt-BR"/>
        </w:rPr>
        <w:t xml:space="preserve"> </w:t>
      </w:r>
      <w:proofErr w:type="spellStart"/>
      <w:r w:rsidRPr="0082532D">
        <w:rPr>
          <w:sz w:val="26"/>
          <w:lang w:val="pt-BR"/>
        </w:rPr>
        <w:t>Bertazi</w:t>
      </w:r>
      <w:proofErr w:type="spellEnd"/>
      <w:r w:rsidRPr="0082532D">
        <w:rPr>
          <w:sz w:val="26"/>
          <w:lang w:val="pt-BR"/>
        </w:rPr>
        <w:t xml:space="preserve">, Isabelle Lucena Paiva e Olivia </w:t>
      </w:r>
      <w:proofErr w:type="spellStart"/>
      <w:r w:rsidRPr="0082532D">
        <w:rPr>
          <w:sz w:val="26"/>
          <w:lang w:val="pt-BR"/>
        </w:rPr>
        <w:t>Cadelca</w:t>
      </w:r>
      <w:proofErr w:type="spellEnd"/>
    </w:p>
    <w:p w14:paraId="2BF227CA" w14:textId="77777777" w:rsidR="00FD6B96" w:rsidRPr="0082532D" w:rsidRDefault="0082532D">
      <w:pPr>
        <w:spacing w:before="240"/>
        <w:ind w:left="302" w:right="296"/>
        <w:jc w:val="center"/>
        <w:rPr>
          <w:sz w:val="26"/>
          <w:lang w:val="pt-BR"/>
        </w:rPr>
      </w:pPr>
      <w:r w:rsidRPr="0082532D">
        <w:rPr>
          <w:sz w:val="26"/>
          <w:lang w:val="pt-BR"/>
        </w:rPr>
        <w:t>Faculdade de Direito de Ribeirão Preto - USP</w:t>
      </w:r>
    </w:p>
    <w:p w14:paraId="03ED4A13" w14:textId="77777777" w:rsidR="00FD6B96" w:rsidRPr="0082532D" w:rsidRDefault="00FD6B96">
      <w:pPr>
        <w:pStyle w:val="Corpodetexto"/>
        <w:spacing w:before="240"/>
        <w:ind w:left="303" w:right="293"/>
        <w:jc w:val="center"/>
        <w:rPr>
          <w:lang w:val="pt-BR"/>
        </w:rPr>
      </w:pPr>
    </w:p>
    <w:p w14:paraId="413F7EA3" w14:textId="77777777" w:rsidR="00FD6B96" w:rsidRPr="0082532D" w:rsidRDefault="00FD6B96">
      <w:pPr>
        <w:pStyle w:val="Corpodetexto"/>
        <w:ind w:left="0"/>
        <w:jc w:val="left"/>
        <w:rPr>
          <w:lang w:val="pt-BR"/>
        </w:rPr>
      </w:pPr>
    </w:p>
    <w:p w14:paraId="3BEA14D9" w14:textId="77777777" w:rsidR="00FD6B96" w:rsidRPr="0082532D" w:rsidRDefault="00FD6B96">
      <w:pPr>
        <w:pStyle w:val="Corpodetexto"/>
        <w:ind w:left="0"/>
        <w:jc w:val="left"/>
        <w:rPr>
          <w:lang w:val="pt-BR"/>
        </w:rPr>
      </w:pPr>
    </w:p>
    <w:p w14:paraId="1E2E964F" w14:textId="77777777" w:rsidR="00FD6B96" w:rsidRPr="0082532D" w:rsidRDefault="00FD6B96">
      <w:pPr>
        <w:pStyle w:val="Corpodetexto"/>
        <w:spacing w:before="2"/>
        <w:ind w:left="0"/>
        <w:jc w:val="left"/>
        <w:rPr>
          <w:sz w:val="25"/>
          <w:lang w:val="pt-BR"/>
        </w:rPr>
      </w:pPr>
    </w:p>
    <w:p w14:paraId="7C49277E" w14:textId="77777777" w:rsidR="00FD6B96" w:rsidRPr="0082532D" w:rsidRDefault="00FD6B96">
      <w:pPr>
        <w:rPr>
          <w:lang w:val="pt-BR"/>
        </w:rPr>
        <w:sectPr w:rsidR="00FD6B96" w:rsidRPr="0082532D">
          <w:pgSz w:w="11906" w:h="16838"/>
          <w:pgMar w:top="940" w:right="1360" w:bottom="280" w:left="1360" w:header="0" w:footer="0" w:gutter="0"/>
          <w:cols w:space="720"/>
          <w:formProt w:val="0"/>
          <w:docGrid w:linePitch="600" w:charSpace="-2049"/>
        </w:sectPr>
      </w:pPr>
    </w:p>
    <w:p w14:paraId="1D7D01F7" w14:textId="77777777" w:rsidR="00FD6B96" w:rsidRPr="0082532D" w:rsidRDefault="0082532D">
      <w:pPr>
        <w:pStyle w:val="Ttulo1"/>
        <w:ind w:left="1627" w:right="1513"/>
        <w:rPr>
          <w:lang w:val="pt-BR"/>
        </w:rPr>
      </w:pPr>
      <w:r w:rsidRPr="0082532D">
        <w:rPr>
          <w:lang w:val="pt-BR"/>
        </w:rPr>
        <w:lastRenderedPageBreak/>
        <w:t>Objetivos</w:t>
      </w:r>
    </w:p>
    <w:p w14:paraId="5FC11780" w14:textId="77777777" w:rsidR="00FD6B96" w:rsidRPr="0082532D" w:rsidRDefault="0082532D">
      <w:pPr>
        <w:pStyle w:val="Corpodetexto"/>
        <w:spacing w:before="120"/>
        <w:ind w:left="115"/>
        <w:rPr>
          <w:lang w:val="pt-BR"/>
        </w:rPr>
      </w:pPr>
      <w:r w:rsidRPr="0082532D">
        <w:rPr>
          <w:lang w:val="pt-BR"/>
        </w:rPr>
        <w:t xml:space="preserve">Tendo em mente a </w:t>
      </w:r>
      <w:r w:rsidRPr="0082532D">
        <w:rPr>
          <w:lang w:val="pt-BR"/>
        </w:rPr>
        <w:t xml:space="preserve">atipicidade do arranjo familiar </w:t>
      </w:r>
      <w:proofErr w:type="spellStart"/>
      <w:r w:rsidRPr="0082532D">
        <w:rPr>
          <w:lang w:val="pt-BR"/>
        </w:rPr>
        <w:t>poliafetivo</w:t>
      </w:r>
      <w:proofErr w:type="spellEnd"/>
      <w:r w:rsidRPr="0082532D">
        <w:rPr>
          <w:lang w:val="pt-BR"/>
        </w:rPr>
        <w:t>, mas considerando paradigmas e direitos fundamentais que norteiam o ordenamento jurídico pátrio, buscou-se identificar, no contexto brasileiro, qual a situação das escrituras públicas que reconhecem tais unidades</w:t>
      </w:r>
      <w:r w:rsidRPr="0082532D">
        <w:rPr>
          <w:lang w:val="pt-BR"/>
        </w:rPr>
        <w:t xml:space="preserve"> familiares, bem como do cenário que se desenvolve em torno da controvérsia quanto à sua legalidade. Objetivou-se, ainda, analisar as dificuldades de adaptação dos institutos existentes para acolher plenamente este novo conceito de família.</w:t>
      </w:r>
    </w:p>
    <w:p w14:paraId="0DAF813D" w14:textId="77777777" w:rsidR="00FD6B96" w:rsidRPr="0082532D" w:rsidRDefault="0082532D">
      <w:pPr>
        <w:pStyle w:val="Ttulo1"/>
        <w:spacing w:before="119"/>
        <w:ind w:left="624"/>
        <w:jc w:val="left"/>
        <w:rPr>
          <w:lang w:val="pt-BR"/>
        </w:rPr>
      </w:pPr>
      <w:r w:rsidRPr="0082532D">
        <w:rPr>
          <w:lang w:val="pt-BR"/>
        </w:rPr>
        <w:t>Métodos e Proce</w:t>
      </w:r>
      <w:r w:rsidRPr="0082532D">
        <w:rPr>
          <w:lang w:val="pt-BR"/>
        </w:rPr>
        <w:t>dimentos</w:t>
      </w:r>
    </w:p>
    <w:p w14:paraId="20FDBEAE" w14:textId="77777777" w:rsidR="00FD6B96" w:rsidRPr="0082532D" w:rsidRDefault="0082532D">
      <w:pPr>
        <w:pStyle w:val="Corpodetexto"/>
        <w:spacing w:before="121"/>
        <w:ind w:left="115" w:right="1"/>
        <w:rPr>
          <w:lang w:val="pt-BR"/>
        </w:rPr>
      </w:pPr>
      <w:r w:rsidRPr="0082532D">
        <w:rPr>
          <w:lang w:val="pt-BR"/>
        </w:rPr>
        <w:t xml:space="preserve">Pelo pequeno número de escrituras públicas lavradas desde 2012 para reconhecer famílias </w:t>
      </w:r>
      <w:proofErr w:type="spellStart"/>
      <w:r w:rsidRPr="0082532D">
        <w:rPr>
          <w:lang w:val="pt-BR"/>
        </w:rPr>
        <w:t>poliafetivas</w:t>
      </w:r>
      <w:proofErr w:type="spellEnd"/>
      <w:r w:rsidRPr="0082532D">
        <w:rPr>
          <w:lang w:val="pt-BR"/>
        </w:rPr>
        <w:t xml:space="preserve"> como unidades familiares, denotou- se meio empregado pelos oficiais de registro, qual seja, o reconhecimento de uniões estáveis </w:t>
      </w:r>
      <w:proofErr w:type="spellStart"/>
      <w:r w:rsidRPr="0082532D">
        <w:rPr>
          <w:lang w:val="pt-BR"/>
        </w:rPr>
        <w:t>plúrimas</w:t>
      </w:r>
      <w:proofErr w:type="spellEnd"/>
      <w:r w:rsidRPr="0082532D">
        <w:rPr>
          <w:lang w:val="pt-BR"/>
        </w:rPr>
        <w:t>. No mais,</w:t>
      </w:r>
      <w:r w:rsidRPr="0082532D">
        <w:rPr>
          <w:lang w:val="pt-BR"/>
        </w:rPr>
        <w:t xml:space="preserve"> coube a análise da suspensão ordenada pelo CNJ em 2016, no sentido de estancar a atividade enquanto não houver regulação adequada.</w:t>
      </w:r>
    </w:p>
    <w:p w14:paraId="4188D18F" w14:textId="77777777" w:rsidR="00FD6B96" w:rsidRPr="0082532D" w:rsidRDefault="0082532D">
      <w:pPr>
        <w:pStyle w:val="Ttulo1"/>
        <w:spacing w:before="119"/>
        <w:ind w:left="1542"/>
        <w:jc w:val="left"/>
        <w:rPr>
          <w:lang w:val="pt-BR"/>
        </w:rPr>
      </w:pPr>
      <w:r w:rsidRPr="0082532D">
        <w:rPr>
          <w:lang w:val="pt-BR"/>
        </w:rPr>
        <w:t>Resultados</w:t>
      </w:r>
    </w:p>
    <w:p w14:paraId="38DC2534" w14:textId="77777777" w:rsidR="00FD6B96" w:rsidRPr="0082532D" w:rsidRDefault="0082532D">
      <w:pPr>
        <w:pStyle w:val="Corpodetexto"/>
        <w:spacing w:before="120"/>
        <w:ind w:left="115"/>
        <w:rPr>
          <w:lang w:val="pt-BR"/>
        </w:rPr>
      </w:pPr>
      <w:r w:rsidRPr="0082532D">
        <w:rPr>
          <w:lang w:val="pt-BR"/>
        </w:rPr>
        <w:t xml:space="preserve">Foram identificadas 8 escrituras públicas lavradas por oficiais registradores no sentido de reconhecer famílias </w:t>
      </w:r>
      <w:proofErr w:type="spellStart"/>
      <w:r w:rsidRPr="0082532D">
        <w:rPr>
          <w:lang w:val="pt-BR"/>
        </w:rPr>
        <w:t>p</w:t>
      </w:r>
      <w:r w:rsidRPr="0082532D">
        <w:rPr>
          <w:lang w:val="pt-BR"/>
        </w:rPr>
        <w:t>oliafetivas</w:t>
      </w:r>
      <w:proofErr w:type="spellEnd"/>
      <w:r w:rsidRPr="0082532D">
        <w:rPr>
          <w:lang w:val="pt-BR"/>
        </w:rPr>
        <w:t xml:space="preserve"> entre 2012 e abril de 2016, quando o CNJ suspendeu a atividade. Em que pese a importância atribuída à autonomia da vontade por tais servidores, é premente denotar que o ordenamento jurídico brasileiro não comporta, em seu arcabouço normativo de</w:t>
      </w:r>
      <w:r w:rsidRPr="0082532D">
        <w:rPr>
          <w:lang w:val="pt-BR"/>
        </w:rPr>
        <w:t xml:space="preserve"> Direito das Famílias, Sucessões e Previdenciário, manifestações que </w:t>
      </w:r>
      <w:r w:rsidRPr="0082532D">
        <w:rPr>
          <w:i/>
          <w:iCs/>
          <w:lang w:val="pt-BR"/>
        </w:rPr>
        <w:t>per se</w:t>
      </w:r>
      <w:r w:rsidRPr="0082532D">
        <w:rPr>
          <w:lang w:val="pt-BR"/>
        </w:rPr>
        <w:t xml:space="preserve"> alterem a norma vigente ao bel prazer </w:t>
      </w:r>
      <w:proofErr w:type="gramStart"/>
      <w:r w:rsidRPr="0082532D">
        <w:rPr>
          <w:lang w:val="pt-BR"/>
        </w:rPr>
        <w:t>do(</w:t>
      </w:r>
      <w:proofErr w:type="gramEnd"/>
      <w:r w:rsidRPr="0082532D">
        <w:rPr>
          <w:lang w:val="pt-BR"/>
        </w:rPr>
        <w:t xml:space="preserve">s) </w:t>
      </w:r>
      <w:proofErr w:type="spellStart"/>
      <w:r w:rsidRPr="0082532D">
        <w:rPr>
          <w:lang w:val="pt-BR"/>
        </w:rPr>
        <w:t>individúo</w:t>
      </w:r>
      <w:proofErr w:type="spellEnd"/>
      <w:r w:rsidRPr="0082532D">
        <w:rPr>
          <w:lang w:val="pt-BR"/>
        </w:rPr>
        <w:t>(s).</w:t>
      </w:r>
    </w:p>
    <w:p w14:paraId="708C15F4" w14:textId="77777777" w:rsidR="00FD6B96" w:rsidRPr="0082532D" w:rsidRDefault="0082532D">
      <w:pPr>
        <w:pStyle w:val="Ttulo1"/>
        <w:ind w:left="1485" w:right="1475"/>
        <w:rPr>
          <w:lang w:val="pt-BR"/>
        </w:rPr>
      </w:pPr>
      <w:r w:rsidRPr="0082532D">
        <w:rPr>
          <w:lang w:val="pt-BR"/>
        </w:rPr>
        <w:br w:type="column"/>
      </w:r>
      <w:r w:rsidRPr="0082532D">
        <w:rPr>
          <w:lang w:val="pt-BR"/>
        </w:rPr>
        <w:lastRenderedPageBreak/>
        <w:t>Conclusões</w:t>
      </w:r>
    </w:p>
    <w:p w14:paraId="49331838" w14:textId="77777777" w:rsidR="00FD6B96" w:rsidRPr="0082532D" w:rsidRDefault="0082532D">
      <w:pPr>
        <w:pStyle w:val="Corpodetexto"/>
        <w:spacing w:before="120"/>
        <w:ind w:left="0" w:right="107"/>
        <w:rPr>
          <w:lang w:val="pt-BR"/>
        </w:rPr>
      </w:pPr>
      <w:r w:rsidRPr="0082532D">
        <w:rPr>
          <w:lang w:val="pt-BR"/>
        </w:rPr>
        <w:t xml:space="preserve">Conclui-se que, por poucos que sejam os registros, é necessário aquiescer que unidades familiares </w:t>
      </w:r>
      <w:proofErr w:type="spellStart"/>
      <w:r w:rsidRPr="0082532D">
        <w:rPr>
          <w:lang w:val="pt-BR"/>
        </w:rPr>
        <w:t>poliafetivas</w:t>
      </w:r>
      <w:proofErr w:type="spellEnd"/>
      <w:r w:rsidRPr="0082532D">
        <w:rPr>
          <w:lang w:val="pt-BR"/>
        </w:rPr>
        <w:t xml:space="preserve"> são uma realidade possivelmente crescente, ainda que não reconhecidas pelo Direito brasileiro. Contudo, imprescindível apontar que mudanças profundas em institutos basilares do Direto de Família não podem ser promovidas sem uma expressividade social imens</w:t>
      </w:r>
      <w:r w:rsidRPr="0082532D">
        <w:rPr>
          <w:lang w:val="pt-BR"/>
        </w:rPr>
        <w:t>amente maior quanto a que hoje se manifesta. Neste diapasão, a suspensão dos registros pelo CNJ configura indício de sua futura proibição.</w:t>
      </w:r>
    </w:p>
    <w:p w14:paraId="4834E972" w14:textId="77777777" w:rsidR="00FD6B96" w:rsidRPr="0082532D" w:rsidRDefault="0082532D">
      <w:pPr>
        <w:pStyle w:val="Ttulo1"/>
        <w:spacing w:before="119"/>
        <w:ind w:left="610"/>
        <w:jc w:val="left"/>
        <w:rPr>
          <w:lang w:val="pt-BR"/>
        </w:rPr>
      </w:pPr>
      <w:r w:rsidRPr="0082532D">
        <w:rPr>
          <w:lang w:val="pt-BR"/>
        </w:rPr>
        <w:t>Referências Bibliográficas</w:t>
      </w:r>
    </w:p>
    <w:p w14:paraId="30EC90BC" w14:textId="77777777" w:rsidR="00FD6B96" w:rsidRPr="0082532D" w:rsidRDefault="0082532D">
      <w:pPr>
        <w:pStyle w:val="Corpodetexto"/>
        <w:tabs>
          <w:tab w:val="left" w:pos="2025"/>
          <w:tab w:val="left" w:pos="4034"/>
        </w:tabs>
        <w:spacing w:before="121"/>
        <w:ind w:left="0" w:right="103"/>
        <w:rPr>
          <w:lang w:val="pt-BR"/>
        </w:rPr>
      </w:pPr>
      <w:r w:rsidRPr="0082532D">
        <w:rPr>
          <w:color w:val="191919"/>
          <w:lang w:val="pt-BR"/>
        </w:rPr>
        <w:t xml:space="preserve">VECCHIATTI, Paulo Roberto </w:t>
      </w:r>
      <w:proofErr w:type="spellStart"/>
      <w:r w:rsidRPr="0082532D">
        <w:rPr>
          <w:color w:val="191919"/>
          <w:lang w:val="pt-BR"/>
        </w:rPr>
        <w:t>Iotti</w:t>
      </w:r>
      <w:proofErr w:type="spellEnd"/>
      <w:r w:rsidRPr="0082532D">
        <w:rPr>
          <w:color w:val="191919"/>
          <w:lang w:val="pt-BR"/>
        </w:rPr>
        <w:t xml:space="preserve">. </w:t>
      </w:r>
      <w:r w:rsidRPr="0082532D">
        <w:rPr>
          <w:i/>
          <w:iCs/>
          <w:color w:val="191919"/>
          <w:lang w:val="pt-BR"/>
        </w:rPr>
        <w:t xml:space="preserve">União estável </w:t>
      </w:r>
      <w:proofErr w:type="spellStart"/>
      <w:r w:rsidRPr="0082532D">
        <w:rPr>
          <w:i/>
          <w:iCs/>
          <w:color w:val="191919"/>
          <w:lang w:val="pt-BR"/>
        </w:rPr>
        <w:t>poliafetiva</w:t>
      </w:r>
      <w:proofErr w:type="spellEnd"/>
      <w:r w:rsidRPr="0082532D">
        <w:rPr>
          <w:i/>
          <w:iCs/>
          <w:color w:val="191919"/>
          <w:lang w:val="pt-BR"/>
        </w:rPr>
        <w:t>: breves considerações acerca de</w:t>
      </w:r>
      <w:r w:rsidRPr="0082532D">
        <w:rPr>
          <w:i/>
          <w:iCs/>
          <w:color w:val="191919"/>
          <w:lang w:val="pt-BR"/>
        </w:rPr>
        <w:t xml:space="preserve"> sua constitucionalidade</w:t>
      </w:r>
      <w:r w:rsidRPr="0082532D">
        <w:rPr>
          <w:color w:val="191919"/>
          <w:lang w:val="pt-BR"/>
        </w:rPr>
        <w:t xml:space="preserve">. Jus </w:t>
      </w:r>
      <w:proofErr w:type="spellStart"/>
      <w:r w:rsidRPr="0082532D">
        <w:rPr>
          <w:color w:val="191919"/>
          <w:lang w:val="pt-BR"/>
        </w:rPr>
        <w:t>Navigandi</w:t>
      </w:r>
      <w:proofErr w:type="spellEnd"/>
      <w:r w:rsidRPr="0082532D">
        <w:rPr>
          <w:color w:val="191919"/>
          <w:lang w:val="pt-BR"/>
        </w:rPr>
        <w:t>, Teresina, ano 17, n. 3395, 17 out.2012. Disponível em: &lt;http://jus.com.br/artigos/22830&gt;. Acesso em: 25 set. 2017;</w:t>
      </w:r>
    </w:p>
    <w:p w14:paraId="7E79395C" w14:textId="77777777" w:rsidR="00FD6B96" w:rsidRPr="0082532D" w:rsidRDefault="00FD6B96">
      <w:pPr>
        <w:pStyle w:val="Corpodetexto"/>
        <w:tabs>
          <w:tab w:val="left" w:pos="2025"/>
          <w:tab w:val="left" w:pos="4034"/>
        </w:tabs>
        <w:spacing w:before="121"/>
        <w:ind w:left="0" w:right="103"/>
        <w:rPr>
          <w:color w:val="191919"/>
          <w:lang w:val="pt-BR"/>
        </w:rPr>
      </w:pPr>
    </w:p>
    <w:p w14:paraId="0B9A800D" w14:textId="77777777" w:rsidR="00FD6B96" w:rsidRPr="0082532D" w:rsidRDefault="0082532D">
      <w:pPr>
        <w:pStyle w:val="Corpodetexto"/>
        <w:ind w:left="0" w:right="104"/>
        <w:rPr>
          <w:lang w:val="pt-BR"/>
        </w:rPr>
      </w:pPr>
      <w:r w:rsidRPr="0082532D">
        <w:rPr>
          <w:color w:val="191919"/>
          <w:lang w:val="pt-BR"/>
        </w:rPr>
        <w:t xml:space="preserve">BAHIA, Alexandre Mello Franco. VECCHIATTI, Paulo Roberto </w:t>
      </w:r>
      <w:proofErr w:type="spellStart"/>
      <w:r w:rsidRPr="0082532D">
        <w:rPr>
          <w:color w:val="191919"/>
          <w:lang w:val="pt-BR"/>
        </w:rPr>
        <w:t>Iotti</w:t>
      </w:r>
      <w:proofErr w:type="spellEnd"/>
      <w:r w:rsidRPr="0082532D">
        <w:rPr>
          <w:color w:val="191919"/>
          <w:lang w:val="pt-BR"/>
        </w:rPr>
        <w:t xml:space="preserve">. </w:t>
      </w:r>
      <w:r w:rsidRPr="0082532D">
        <w:rPr>
          <w:i/>
          <w:iCs/>
          <w:color w:val="191919"/>
          <w:lang w:val="pt-BR"/>
        </w:rPr>
        <w:t>Constitucionalidade e relevância da</w:t>
      </w:r>
      <w:r w:rsidRPr="0082532D">
        <w:rPr>
          <w:i/>
          <w:iCs/>
          <w:color w:val="191919"/>
          <w:lang w:val="pt-BR"/>
        </w:rPr>
        <w:t xml:space="preserve"> decisão sobre união </w:t>
      </w:r>
      <w:proofErr w:type="spellStart"/>
      <w:r w:rsidRPr="0082532D">
        <w:rPr>
          <w:i/>
          <w:iCs/>
          <w:color w:val="191919"/>
          <w:lang w:val="pt-BR"/>
        </w:rPr>
        <w:t>homoafetiva</w:t>
      </w:r>
      <w:proofErr w:type="spellEnd"/>
      <w:r w:rsidRPr="0082532D">
        <w:rPr>
          <w:i/>
          <w:iCs/>
          <w:color w:val="191919"/>
          <w:lang w:val="pt-BR"/>
        </w:rPr>
        <w:t xml:space="preserve">: o STF como instituição </w:t>
      </w:r>
      <w:proofErr w:type="spellStart"/>
      <w:r w:rsidRPr="0082532D">
        <w:rPr>
          <w:i/>
          <w:iCs/>
          <w:color w:val="191919"/>
          <w:lang w:val="pt-BR"/>
        </w:rPr>
        <w:t>contramajoritária</w:t>
      </w:r>
      <w:proofErr w:type="spellEnd"/>
      <w:r w:rsidRPr="0082532D">
        <w:rPr>
          <w:i/>
          <w:iCs/>
          <w:color w:val="191919"/>
          <w:lang w:val="pt-BR"/>
        </w:rPr>
        <w:t xml:space="preserve"> no reconhecimento de uma concepção plural de família</w:t>
      </w:r>
      <w:r w:rsidRPr="0082532D">
        <w:rPr>
          <w:color w:val="191919"/>
          <w:lang w:val="pt-BR"/>
        </w:rPr>
        <w:t>, Rev. Direito GV, vol.</w:t>
      </w:r>
      <w:r>
        <w:rPr>
          <w:color w:val="191919"/>
          <w:lang w:val="pt-BR"/>
        </w:rPr>
        <w:t xml:space="preserve"> </w:t>
      </w:r>
      <w:r w:rsidRPr="0082532D">
        <w:rPr>
          <w:color w:val="191919"/>
          <w:lang w:val="pt-BR"/>
        </w:rPr>
        <w:t>9, nº</w:t>
      </w:r>
      <w:r>
        <w:rPr>
          <w:color w:val="191919"/>
          <w:lang w:val="pt-BR"/>
        </w:rPr>
        <w:t xml:space="preserve"> </w:t>
      </w:r>
      <w:r w:rsidRPr="0082532D">
        <w:rPr>
          <w:color w:val="191919"/>
          <w:lang w:val="pt-BR"/>
        </w:rPr>
        <w:t xml:space="preserve">1, São Paulo, </w:t>
      </w:r>
      <w:proofErr w:type="gramStart"/>
      <w:r w:rsidRPr="0082532D">
        <w:rPr>
          <w:color w:val="191919"/>
          <w:lang w:val="pt-BR"/>
        </w:rPr>
        <w:t>Jan.</w:t>
      </w:r>
      <w:proofErr w:type="gramEnd"/>
      <w:r w:rsidRPr="0082532D">
        <w:rPr>
          <w:color w:val="191919"/>
          <w:lang w:val="pt-BR"/>
        </w:rPr>
        <w:t>/</w:t>
      </w:r>
      <w:proofErr w:type="spellStart"/>
      <w:r w:rsidRPr="0082532D">
        <w:rPr>
          <w:color w:val="191919"/>
          <w:lang w:val="pt-BR"/>
        </w:rPr>
        <w:t>Jun</w:t>
      </w:r>
      <w:proofErr w:type="spellEnd"/>
      <w:r w:rsidRPr="0082532D">
        <w:rPr>
          <w:color w:val="191919"/>
          <w:lang w:val="pt-BR"/>
        </w:rPr>
        <w:t xml:space="preserve"> 2013;</w:t>
      </w:r>
    </w:p>
    <w:p w14:paraId="412F2F7D" w14:textId="77777777" w:rsidR="00FD6B96" w:rsidRPr="0082532D" w:rsidRDefault="00FD6B96">
      <w:pPr>
        <w:pStyle w:val="Corpodetexto"/>
        <w:ind w:left="0" w:right="104"/>
        <w:rPr>
          <w:color w:val="191919"/>
          <w:lang w:val="pt-BR"/>
        </w:rPr>
      </w:pPr>
    </w:p>
    <w:p w14:paraId="4A3DB42A" w14:textId="77777777" w:rsidR="00FD6B96" w:rsidRPr="0082532D" w:rsidRDefault="0082532D">
      <w:pPr>
        <w:pStyle w:val="Corpodetexto"/>
        <w:ind w:left="0" w:right="104"/>
        <w:rPr>
          <w:lang w:val="pt-BR"/>
        </w:rPr>
      </w:pPr>
      <w:r w:rsidRPr="0082532D">
        <w:rPr>
          <w:color w:val="191919"/>
          <w:lang w:val="pt-BR"/>
        </w:rPr>
        <w:t xml:space="preserve">PEREIRA, Rodrigo da Cunha. </w:t>
      </w:r>
      <w:r w:rsidRPr="0082532D">
        <w:rPr>
          <w:i/>
          <w:iCs/>
          <w:color w:val="191919"/>
          <w:lang w:val="pt-BR"/>
        </w:rPr>
        <w:t>Princípios Fundamentais Norteadores do Direi</w:t>
      </w:r>
      <w:r w:rsidRPr="0082532D">
        <w:rPr>
          <w:i/>
          <w:iCs/>
          <w:color w:val="191919"/>
          <w:lang w:val="pt-BR"/>
        </w:rPr>
        <w:t>to de Família</w:t>
      </w:r>
      <w:r>
        <w:rPr>
          <w:color w:val="191919"/>
          <w:lang w:val="pt-BR"/>
        </w:rPr>
        <w:t>, 2.</w:t>
      </w:r>
      <w:r w:rsidRPr="0082532D">
        <w:rPr>
          <w:color w:val="191919"/>
          <w:lang w:val="pt-BR"/>
        </w:rPr>
        <w:t xml:space="preserve"> ed., São Paulo: Saraiva, 2012, p. 192-195;</w:t>
      </w:r>
    </w:p>
    <w:p w14:paraId="3C357C5C" w14:textId="77777777" w:rsidR="00FD6B96" w:rsidRPr="0082532D" w:rsidRDefault="00FD6B96">
      <w:pPr>
        <w:pStyle w:val="Corpodetexto"/>
        <w:ind w:left="0" w:right="104"/>
        <w:rPr>
          <w:color w:val="191919"/>
          <w:lang w:val="pt-BR"/>
        </w:rPr>
      </w:pPr>
    </w:p>
    <w:p w14:paraId="6AF0ABBD" w14:textId="77777777" w:rsidR="00FD6B96" w:rsidRPr="0082532D" w:rsidRDefault="0082532D">
      <w:pPr>
        <w:ind w:right="110"/>
        <w:jc w:val="both"/>
        <w:rPr>
          <w:lang w:val="pt-BR"/>
        </w:rPr>
      </w:pPr>
      <w:r w:rsidRPr="0082532D">
        <w:rPr>
          <w:rFonts w:ascii="Times New Roman" w:hAnsi="Times New Roman"/>
          <w:color w:val="191919"/>
          <w:sz w:val="24"/>
          <w:lang w:val="pt-BR"/>
        </w:rPr>
        <w:t xml:space="preserve">DIAS, Maria Berenice. </w:t>
      </w:r>
      <w:r w:rsidRPr="0082532D">
        <w:rPr>
          <w:rFonts w:ascii="Times New Roman" w:hAnsi="Times New Roman"/>
          <w:i/>
          <w:iCs/>
          <w:color w:val="191919"/>
          <w:sz w:val="24"/>
          <w:lang w:val="pt-BR"/>
        </w:rPr>
        <w:t>Manual de Direito das Famílias</w:t>
      </w:r>
      <w:r>
        <w:rPr>
          <w:rFonts w:ascii="Times New Roman" w:hAnsi="Times New Roman"/>
          <w:color w:val="191919"/>
          <w:sz w:val="24"/>
          <w:lang w:val="pt-BR"/>
        </w:rPr>
        <w:t>. 11.</w:t>
      </w:r>
      <w:r w:rsidRPr="0082532D">
        <w:rPr>
          <w:rFonts w:ascii="Times New Roman" w:hAnsi="Times New Roman"/>
          <w:color w:val="191919"/>
          <w:sz w:val="24"/>
          <w:lang w:val="pt-BR"/>
        </w:rPr>
        <w:t xml:space="preserve"> ed., São Paulo: RT, 2016.</w:t>
      </w:r>
    </w:p>
    <w:sectPr w:rsidR="00FD6B96" w:rsidRPr="0082532D">
      <w:type w:val="continuous"/>
      <w:pgSz w:w="11906" w:h="16838"/>
      <w:pgMar w:top="940" w:right="1360" w:bottom="280" w:left="1360" w:header="0" w:footer="0" w:gutter="0"/>
      <w:cols w:num="2" w:space="720" w:equalWidth="0">
        <w:col w:w="4368" w:space="340"/>
        <w:col w:w="4477"/>
      </w:cols>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96"/>
    <w:rsid w:val="0082532D"/>
    <w:rsid w:val="00FD6B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3062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uiPriority w:val="1"/>
    <w:qFormat/>
    <w:pPr>
      <w:spacing w:before="91"/>
      <w:ind w:left="296"/>
      <w:jc w:val="center"/>
      <w:outlineLvl w:val="0"/>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uiPriority w:val="1"/>
    <w:qFormat/>
    <w:pPr>
      <w:ind w:left="116"/>
      <w:jc w:val="both"/>
    </w:pPr>
    <w:rPr>
      <w:sz w:val="20"/>
      <w:szCs w:val="20"/>
    </w:r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2475</Characters>
  <Application>Microsoft Macintosh Word</Application>
  <DocSecurity>0</DocSecurity>
  <Lines>20</Lines>
  <Paragraphs>5</Paragraphs>
  <ScaleCrop>false</ScaleCrop>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Cíntia Rosa Pereira de Lima</dc:creator>
  <dc:description/>
  <cp:lastModifiedBy>Cíntia Rosa Pereira de Lima</cp:lastModifiedBy>
  <cp:revision>2</cp:revision>
  <dcterms:created xsi:type="dcterms:W3CDTF">2017-11-28T12:59:00Z</dcterms:created>
  <dcterms:modified xsi:type="dcterms:W3CDTF">2017-11-28T12:59:00Z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2017-10-07T00:00:00Z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2017-10-07T00:00:00Z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