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D0F12" w14:textId="77777777" w:rsidR="003773B7" w:rsidRPr="00CB115B" w:rsidRDefault="003773B7" w:rsidP="00CB115B">
      <w:pPr>
        <w:spacing w:after="260"/>
        <w:jc w:val="center"/>
        <w:rPr>
          <w:rFonts w:ascii="Arial" w:hAnsi="Arial" w:cs="Arial"/>
          <w:b/>
          <w:bCs/>
          <w:sz w:val="24"/>
          <w:szCs w:val="24"/>
        </w:rPr>
      </w:pPr>
      <w:bookmarkStart w:id="0" w:name="_GoBack"/>
      <w:r w:rsidRPr="00CB115B">
        <w:rPr>
          <w:rFonts w:ascii="Arial" w:hAnsi="Arial" w:cs="Arial"/>
          <w:b/>
          <w:bCs/>
          <w:sz w:val="24"/>
          <w:szCs w:val="24"/>
        </w:rPr>
        <w:t>A PACIFICAÇÃO DA UNIÃO ESTÁVEL E CASAMENTO HOMOAFETIVOS NO ORDENAMENTO JURÍDICO BRASILEIRO</w:t>
      </w:r>
      <w:bookmarkEnd w:id="0"/>
      <w:r w:rsidRPr="00CB115B">
        <w:rPr>
          <w:rFonts w:ascii="Arial" w:hAnsi="Arial" w:cs="Arial"/>
          <w:b/>
          <w:bCs/>
          <w:sz w:val="24"/>
          <w:szCs w:val="24"/>
        </w:rPr>
        <w:br/>
      </w:r>
      <w:r w:rsidRPr="00CB115B">
        <w:rPr>
          <w:rFonts w:ascii="Arial" w:hAnsi="Arial" w:cs="Arial"/>
          <w:b/>
          <w:bCs/>
          <w:sz w:val="24"/>
          <w:szCs w:val="24"/>
        </w:rPr>
        <w:br/>
      </w:r>
      <w:r w:rsidRPr="000C2B82">
        <w:rPr>
          <w:rFonts w:ascii="Arial" w:hAnsi="Arial" w:cs="Arial"/>
          <w:sz w:val="24"/>
          <w:szCs w:val="24"/>
        </w:rPr>
        <w:t xml:space="preserve">Adriane </w:t>
      </w:r>
      <w:proofErr w:type="spellStart"/>
      <w:r w:rsidRPr="000C2B82">
        <w:rPr>
          <w:rFonts w:ascii="Arial" w:hAnsi="Arial" w:cs="Arial"/>
          <w:sz w:val="24"/>
          <w:szCs w:val="24"/>
        </w:rPr>
        <w:t>Takahara</w:t>
      </w:r>
      <w:proofErr w:type="spellEnd"/>
      <w:r w:rsidRPr="000C2B82">
        <w:rPr>
          <w:rFonts w:ascii="Arial" w:hAnsi="Arial" w:cs="Arial"/>
          <w:sz w:val="24"/>
          <w:szCs w:val="24"/>
        </w:rPr>
        <w:t xml:space="preserve"> Montenegro; Camila Marques dos Reis e Silva; João Pedro Azevedo </w:t>
      </w:r>
      <w:proofErr w:type="spellStart"/>
      <w:r w:rsidRPr="000C2B82">
        <w:rPr>
          <w:rFonts w:ascii="Arial" w:hAnsi="Arial" w:cs="Arial"/>
          <w:sz w:val="24"/>
          <w:szCs w:val="24"/>
        </w:rPr>
        <w:t>Fazoli</w:t>
      </w:r>
      <w:proofErr w:type="spellEnd"/>
      <w:r w:rsidRPr="000C2B82">
        <w:rPr>
          <w:rFonts w:ascii="Arial" w:hAnsi="Arial" w:cs="Arial"/>
          <w:sz w:val="24"/>
          <w:szCs w:val="24"/>
        </w:rPr>
        <w:t xml:space="preserve">; Lucas Vieira Carvalho; Thaís Muniz de Castro </w:t>
      </w:r>
      <w:proofErr w:type="spellStart"/>
      <w:r w:rsidRPr="000C2B82">
        <w:rPr>
          <w:rFonts w:ascii="Arial" w:hAnsi="Arial" w:cs="Arial"/>
          <w:sz w:val="24"/>
          <w:szCs w:val="24"/>
        </w:rPr>
        <w:t>Zampieri</w:t>
      </w:r>
      <w:proofErr w:type="spellEnd"/>
      <w:r w:rsidRPr="00CB115B">
        <w:rPr>
          <w:rFonts w:ascii="Arial" w:hAnsi="Arial" w:cs="Arial"/>
          <w:b/>
          <w:bCs/>
          <w:sz w:val="24"/>
          <w:szCs w:val="24"/>
        </w:rPr>
        <w:br/>
      </w:r>
      <w:r w:rsidRPr="00CB115B">
        <w:rPr>
          <w:rFonts w:ascii="Arial" w:hAnsi="Arial" w:cs="Arial"/>
          <w:b/>
          <w:bCs/>
          <w:sz w:val="24"/>
          <w:szCs w:val="24"/>
        </w:rPr>
        <w:br/>
      </w:r>
      <w:r w:rsidRPr="00CB115B">
        <w:rPr>
          <w:rFonts w:ascii="Arial" w:hAnsi="Arial" w:cs="Arial"/>
          <w:sz w:val="24"/>
          <w:szCs w:val="24"/>
        </w:rPr>
        <w:t>FACULDADE DE DIREITO DE RIBEIRÃO PRETO – USP</w:t>
      </w:r>
    </w:p>
    <w:p w14:paraId="45780213" w14:textId="77777777" w:rsidR="003773B7" w:rsidRDefault="003773B7" w:rsidP="00921235">
      <w:pPr>
        <w:jc w:val="center"/>
      </w:pPr>
    </w:p>
    <w:p w14:paraId="27F47942" w14:textId="77777777" w:rsidR="003773B7" w:rsidRDefault="003773B7" w:rsidP="00921235">
      <w:pPr>
        <w:jc w:val="center"/>
        <w:sectPr w:rsidR="003773B7" w:rsidSect="00921235">
          <w:pgSz w:w="11906" w:h="16838" w:code="9"/>
          <w:pgMar w:top="1871" w:right="1474" w:bottom="2381" w:left="1474" w:header="709" w:footer="709" w:gutter="0"/>
          <w:cols w:space="454"/>
          <w:docGrid w:linePitch="360"/>
        </w:sectPr>
      </w:pPr>
    </w:p>
    <w:p w14:paraId="14464697" w14:textId="77777777" w:rsidR="00296CAB" w:rsidRDefault="003773B7" w:rsidP="00CB115B">
      <w:pPr>
        <w:spacing w:line="240" w:lineRule="auto"/>
        <w:jc w:val="both"/>
        <w:rPr>
          <w:rFonts w:ascii="Arial" w:hAnsi="Arial" w:cs="Arial"/>
          <w:b/>
          <w:bCs/>
          <w:sz w:val="24"/>
          <w:szCs w:val="24"/>
        </w:rPr>
      </w:pPr>
      <w:r w:rsidRPr="00CB115B">
        <w:rPr>
          <w:rFonts w:ascii="Arial" w:hAnsi="Arial" w:cs="Arial"/>
          <w:b/>
          <w:bCs/>
          <w:sz w:val="24"/>
          <w:szCs w:val="24"/>
        </w:rPr>
        <w:lastRenderedPageBreak/>
        <w:t>Objetivos</w:t>
      </w:r>
    </w:p>
    <w:p w14:paraId="70B747CB" w14:textId="3E3BF1CA" w:rsidR="003773B7" w:rsidRPr="00296CAB" w:rsidRDefault="003773B7" w:rsidP="00CB115B">
      <w:pPr>
        <w:spacing w:line="240" w:lineRule="auto"/>
        <w:jc w:val="both"/>
        <w:rPr>
          <w:rFonts w:ascii="Arial" w:hAnsi="Arial" w:cs="Arial"/>
          <w:b/>
          <w:bCs/>
          <w:sz w:val="24"/>
          <w:szCs w:val="24"/>
        </w:rPr>
      </w:pPr>
      <w:r>
        <w:rPr>
          <w:rFonts w:ascii="Arial" w:hAnsi="Arial" w:cs="Arial"/>
          <w:sz w:val="24"/>
          <w:szCs w:val="24"/>
        </w:rPr>
        <w:t>Mostrar</w:t>
      </w:r>
      <w:r w:rsidRPr="00CB115B">
        <w:rPr>
          <w:rFonts w:ascii="Arial" w:hAnsi="Arial" w:cs="Arial"/>
          <w:sz w:val="24"/>
          <w:szCs w:val="24"/>
        </w:rPr>
        <w:t xml:space="preserve"> </w:t>
      </w:r>
      <w:r>
        <w:rPr>
          <w:rFonts w:ascii="Arial" w:hAnsi="Arial" w:cs="Arial"/>
          <w:sz w:val="24"/>
          <w:szCs w:val="24"/>
        </w:rPr>
        <w:t xml:space="preserve">mudanças no </w:t>
      </w:r>
      <w:r w:rsidRPr="00CB115B">
        <w:rPr>
          <w:rFonts w:ascii="Arial" w:hAnsi="Arial" w:cs="Arial"/>
          <w:sz w:val="24"/>
          <w:szCs w:val="24"/>
        </w:rPr>
        <w:t>tratamento dado à união est</w:t>
      </w:r>
      <w:r>
        <w:rPr>
          <w:rFonts w:ascii="Arial" w:hAnsi="Arial" w:cs="Arial"/>
          <w:sz w:val="24"/>
          <w:szCs w:val="24"/>
        </w:rPr>
        <w:t xml:space="preserve">ável e ao casamento </w:t>
      </w:r>
      <w:proofErr w:type="spellStart"/>
      <w:r>
        <w:rPr>
          <w:rFonts w:ascii="Arial" w:hAnsi="Arial" w:cs="Arial"/>
          <w:sz w:val="24"/>
          <w:szCs w:val="24"/>
        </w:rPr>
        <w:t>homoafetivo</w:t>
      </w:r>
      <w:proofErr w:type="spellEnd"/>
      <w:r w:rsidRPr="00CB115B">
        <w:rPr>
          <w:rFonts w:ascii="Arial" w:hAnsi="Arial" w:cs="Arial"/>
          <w:sz w:val="24"/>
          <w:szCs w:val="24"/>
        </w:rPr>
        <w:t xml:space="preserve"> no ordenamento jurídico brasileiro.</w:t>
      </w:r>
    </w:p>
    <w:p w14:paraId="424A1D2C" w14:textId="77777777" w:rsidR="003773B7" w:rsidRPr="00CB115B" w:rsidRDefault="003773B7" w:rsidP="00CB115B">
      <w:pPr>
        <w:spacing w:line="240" w:lineRule="auto"/>
        <w:jc w:val="both"/>
        <w:rPr>
          <w:rFonts w:ascii="Arial" w:hAnsi="Arial" w:cs="Arial"/>
          <w:sz w:val="24"/>
          <w:szCs w:val="24"/>
        </w:rPr>
      </w:pPr>
      <w:r w:rsidRPr="00CB115B">
        <w:rPr>
          <w:rFonts w:ascii="Arial" w:hAnsi="Arial" w:cs="Arial"/>
          <w:b/>
          <w:bCs/>
          <w:sz w:val="24"/>
          <w:szCs w:val="24"/>
        </w:rPr>
        <w:t>Métodos e Procedimentos</w:t>
      </w:r>
      <w:r>
        <w:rPr>
          <w:rFonts w:ascii="Arial" w:hAnsi="Arial" w:cs="Arial"/>
          <w:b/>
          <w:bCs/>
          <w:sz w:val="24"/>
          <w:szCs w:val="24"/>
        </w:rPr>
        <w:t xml:space="preserve"> </w:t>
      </w:r>
      <w:r>
        <w:rPr>
          <w:rFonts w:ascii="Arial" w:hAnsi="Arial" w:cs="Arial"/>
          <w:b/>
          <w:bCs/>
          <w:sz w:val="24"/>
          <w:szCs w:val="24"/>
        </w:rPr>
        <w:tab/>
      </w:r>
    </w:p>
    <w:p w14:paraId="3D70073B" w14:textId="77777777" w:rsidR="00296CAB" w:rsidRDefault="003773B7" w:rsidP="00296CAB">
      <w:pPr>
        <w:spacing w:line="240" w:lineRule="auto"/>
        <w:jc w:val="both"/>
        <w:rPr>
          <w:rFonts w:ascii="Arial" w:hAnsi="Arial" w:cs="Arial"/>
          <w:sz w:val="24"/>
          <w:szCs w:val="24"/>
        </w:rPr>
      </w:pPr>
      <w:r w:rsidRPr="00CB115B">
        <w:rPr>
          <w:rFonts w:ascii="Arial" w:hAnsi="Arial" w:cs="Arial"/>
          <w:sz w:val="24"/>
          <w:szCs w:val="24"/>
        </w:rPr>
        <w:t xml:space="preserve">A pesquisa se dividiu em duas etapas. A primeira etapa consistiu na análise </w:t>
      </w:r>
      <w:r>
        <w:rPr>
          <w:rFonts w:ascii="Arial" w:hAnsi="Arial" w:cs="Arial"/>
          <w:sz w:val="24"/>
          <w:szCs w:val="24"/>
        </w:rPr>
        <w:t>qualitativa</w:t>
      </w:r>
      <w:r w:rsidRPr="00CB115B">
        <w:rPr>
          <w:rFonts w:ascii="Arial" w:hAnsi="Arial" w:cs="Arial"/>
          <w:sz w:val="24"/>
          <w:szCs w:val="24"/>
        </w:rPr>
        <w:t xml:space="preserve"> dos julgados que se tornaram precedentes para a concessão da união estáv</w:t>
      </w:r>
      <w:r>
        <w:rPr>
          <w:rFonts w:ascii="Arial" w:hAnsi="Arial" w:cs="Arial"/>
          <w:sz w:val="24"/>
          <w:szCs w:val="24"/>
        </w:rPr>
        <w:t xml:space="preserve">el e do casamento </w:t>
      </w:r>
      <w:proofErr w:type="spellStart"/>
      <w:r>
        <w:rPr>
          <w:rFonts w:ascii="Arial" w:hAnsi="Arial" w:cs="Arial"/>
          <w:sz w:val="24"/>
          <w:szCs w:val="24"/>
        </w:rPr>
        <w:t>homoafetivos</w:t>
      </w:r>
      <w:proofErr w:type="spellEnd"/>
      <w:r w:rsidRPr="00CB115B">
        <w:rPr>
          <w:rFonts w:ascii="Arial" w:hAnsi="Arial" w:cs="Arial"/>
          <w:sz w:val="24"/>
          <w:szCs w:val="24"/>
        </w:rPr>
        <w:t xml:space="preserve">: </w:t>
      </w:r>
      <w:proofErr w:type="spellStart"/>
      <w:r w:rsidRPr="00CB115B">
        <w:rPr>
          <w:rFonts w:ascii="Arial" w:hAnsi="Arial" w:cs="Arial"/>
          <w:sz w:val="24"/>
          <w:szCs w:val="24"/>
        </w:rPr>
        <w:t>ADIn</w:t>
      </w:r>
      <w:proofErr w:type="spellEnd"/>
      <w:r w:rsidRPr="00CB115B">
        <w:rPr>
          <w:rFonts w:ascii="Arial" w:hAnsi="Arial" w:cs="Arial"/>
          <w:sz w:val="24"/>
          <w:szCs w:val="24"/>
        </w:rPr>
        <w:t xml:space="preserve"> nº 4277, ADPF nº 132, o Recurso Especial nº 1183378 RS 2010/0036663-8, bem como a Resolução nº 175 do CNJ.</w:t>
      </w:r>
    </w:p>
    <w:p w14:paraId="3C5CAE26" w14:textId="0DD22B0B" w:rsidR="003773B7" w:rsidRPr="00CB115B" w:rsidRDefault="003773B7" w:rsidP="00296CAB">
      <w:pPr>
        <w:spacing w:line="240" w:lineRule="auto"/>
        <w:jc w:val="both"/>
        <w:rPr>
          <w:rFonts w:ascii="Arial" w:hAnsi="Arial" w:cs="Arial"/>
          <w:sz w:val="24"/>
          <w:szCs w:val="24"/>
        </w:rPr>
      </w:pPr>
      <w:r>
        <w:rPr>
          <w:rFonts w:ascii="Arial" w:hAnsi="Arial" w:cs="Arial"/>
          <w:sz w:val="24"/>
          <w:szCs w:val="24"/>
        </w:rPr>
        <w:t>N</w:t>
      </w:r>
      <w:r w:rsidRPr="00CB115B">
        <w:rPr>
          <w:rFonts w:ascii="Arial" w:hAnsi="Arial" w:cs="Arial"/>
          <w:sz w:val="24"/>
          <w:szCs w:val="24"/>
        </w:rPr>
        <w:t xml:space="preserve">a segunda etapa, realizou uma análise quantitativa </w:t>
      </w:r>
      <w:r>
        <w:rPr>
          <w:rFonts w:ascii="Arial" w:hAnsi="Arial" w:cs="Arial"/>
          <w:sz w:val="24"/>
          <w:szCs w:val="24"/>
        </w:rPr>
        <w:t>para mostrar</w:t>
      </w:r>
      <w:r w:rsidRPr="00CB115B">
        <w:rPr>
          <w:rFonts w:ascii="Arial" w:hAnsi="Arial" w:cs="Arial"/>
          <w:sz w:val="24"/>
          <w:szCs w:val="24"/>
        </w:rPr>
        <w:t xml:space="preserve"> o posicionamento dos tribunais brasileiros antes e depois dos precedentes citados. A pesquisa jurisprudencial baseou-se em intervalos de 2 anos, focando nos anos de 2010, 2012, 2014 e 2016, a fim de avaliar a influência de todos os precedentes anteriormente citados sobre a união </w:t>
      </w:r>
      <w:proofErr w:type="spellStart"/>
      <w:r w:rsidRPr="00CB115B">
        <w:rPr>
          <w:rFonts w:ascii="Arial" w:hAnsi="Arial" w:cs="Arial"/>
          <w:sz w:val="24"/>
          <w:szCs w:val="24"/>
        </w:rPr>
        <w:t>homoafetiva</w:t>
      </w:r>
      <w:proofErr w:type="spellEnd"/>
      <w:r w:rsidRPr="00CB115B">
        <w:rPr>
          <w:rFonts w:ascii="Arial" w:hAnsi="Arial" w:cs="Arial"/>
          <w:sz w:val="24"/>
          <w:szCs w:val="24"/>
        </w:rPr>
        <w:t xml:space="preserve">. Os julgados versavam, principalmente, sobre o reconhecimento da união estável de casais homossexuais. A pesquisa foi feita no </w:t>
      </w:r>
      <w:r w:rsidRPr="00CB115B">
        <w:rPr>
          <w:rFonts w:ascii="Arial" w:hAnsi="Arial" w:cs="Arial"/>
          <w:i/>
          <w:iCs/>
          <w:sz w:val="24"/>
          <w:szCs w:val="24"/>
        </w:rPr>
        <w:t xml:space="preserve">site </w:t>
      </w:r>
      <w:r w:rsidRPr="00CB115B">
        <w:rPr>
          <w:rFonts w:ascii="Arial" w:hAnsi="Arial" w:cs="Arial"/>
          <w:sz w:val="24"/>
          <w:szCs w:val="24"/>
        </w:rPr>
        <w:t xml:space="preserve">do Tribunal </w:t>
      </w:r>
      <w:r w:rsidRPr="00CB115B">
        <w:rPr>
          <w:rFonts w:ascii="Arial" w:hAnsi="Arial" w:cs="Arial"/>
          <w:sz w:val="24"/>
          <w:szCs w:val="24"/>
        </w:rPr>
        <w:lastRenderedPageBreak/>
        <w:t xml:space="preserve">de Justiça do Estado de São Paulo (TJ-SP) (http://www.tjsp.jus.br), utilizando como palavras-chave os termos “gay OU </w:t>
      </w:r>
      <w:proofErr w:type="spellStart"/>
      <w:r w:rsidRPr="00CB115B">
        <w:rPr>
          <w:rFonts w:ascii="Arial" w:hAnsi="Arial" w:cs="Arial"/>
          <w:sz w:val="24"/>
          <w:szCs w:val="24"/>
        </w:rPr>
        <w:t>homoafetivo</w:t>
      </w:r>
      <w:proofErr w:type="spellEnd"/>
      <w:r w:rsidRPr="00CB115B">
        <w:rPr>
          <w:rFonts w:ascii="Arial" w:hAnsi="Arial" w:cs="Arial"/>
          <w:sz w:val="24"/>
          <w:szCs w:val="24"/>
        </w:rPr>
        <w:t xml:space="preserve"> OU homossexual”.</w:t>
      </w:r>
      <w:r>
        <w:rPr>
          <w:rFonts w:ascii="Arial" w:hAnsi="Arial" w:cs="Arial"/>
          <w:sz w:val="24"/>
          <w:szCs w:val="24"/>
        </w:rPr>
        <w:t xml:space="preserve"> Quantificaram</w:t>
      </w:r>
      <w:r w:rsidRPr="00CB115B">
        <w:rPr>
          <w:rFonts w:ascii="Arial" w:hAnsi="Arial" w:cs="Arial"/>
          <w:sz w:val="24"/>
          <w:szCs w:val="24"/>
        </w:rPr>
        <w:t xml:space="preserve">-se apenas as apelações. </w:t>
      </w:r>
    </w:p>
    <w:p w14:paraId="4A91CA7C" w14:textId="77777777" w:rsidR="003773B7" w:rsidRPr="00CB115B" w:rsidRDefault="003773B7" w:rsidP="00CB115B">
      <w:pPr>
        <w:spacing w:line="240" w:lineRule="auto"/>
        <w:jc w:val="both"/>
        <w:rPr>
          <w:rFonts w:ascii="Arial" w:hAnsi="Arial" w:cs="Arial"/>
          <w:sz w:val="24"/>
          <w:szCs w:val="24"/>
        </w:rPr>
      </w:pPr>
      <w:r w:rsidRPr="00CB115B">
        <w:rPr>
          <w:rFonts w:ascii="Arial" w:hAnsi="Arial" w:cs="Arial"/>
          <w:b/>
          <w:bCs/>
          <w:sz w:val="24"/>
          <w:szCs w:val="24"/>
        </w:rPr>
        <w:t>Resultados</w:t>
      </w:r>
    </w:p>
    <w:p w14:paraId="5611D95A" w14:textId="0A962DBC" w:rsidR="003773B7" w:rsidRPr="00CB115B" w:rsidRDefault="003773B7" w:rsidP="00CB115B">
      <w:pPr>
        <w:spacing w:line="240" w:lineRule="auto"/>
        <w:jc w:val="both"/>
        <w:rPr>
          <w:rFonts w:ascii="Arial" w:hAnsi="Arial" w:cs="Arial"/>
          <w:sz w:val="24"/>
          <w:szCs w:val="24"/>
        </w:rPr>
      </w:pPr>
      <w:r>
        <w:rPr>
          <w:rFonts w:ascii="Arial" w:hAnsi="Arial" w:cs="Arial"/>
          <w:sz w:val="24"/>
          <w:szCs w:val="24"/>
        </w:rPr>
        <w:t>Consoante a</w:t>
      </w:r>
      <w:r w:rsidRPr="00CB115B">
        <w:rPr>
          <w:rFonts w:ascii="Arial" w:hAnsi="Arial" w:cs="Arial"/>
          <w:sz w:val="24"/>
          <w:szCs w:val="24"/>
        </w:rPr>
        <w:t xml:space="preserve"> análise quantitativa dos julgados, percebeu-se que a </w:t>
      </w:r>
      <w:proofErr w:type="spellStart"/>
      <w:r w:rsidRPr="00CB115B">
        <w:rPr>
          <w:rFonts w:ascii="Arial" w:hAnsi="Arial" w:cs="Arial"/>
          <w:sz w:val="24"/>
          <w:szCs w:val="24"/>
        </w:rPr>
        <w:t>ADIn</w:t>
      </w:r>
      <w:proofErr w:type="spellEnd"/>
      <w:r w:rsidRPr="00CB115B">
        <w:rPr>
          <w:rFonts w:ascii="Arial" w:hAnsi="Arial" w:cs="Arial"/>
          <w:sz w:val="24"/>
          <w:szCs w:val="24"/>
        </w:rPr>
        <w:t xml:space="preserve"> nº 4277 e a ADPF nº 132 foram essenciais para o reconhecimento da união estável dos casais </w:t>
      </w:r>
      <w:proofErr w:type="spellStart"/>
      <w:r w:rsidRPr="00CB115B">
        <w:rPr>
          <w:rFonts w:ascii="Arial" w:hAnsi="Arial" w:cs="Arial"/>
          <w:sz w:val="24"/>
          <w:szCs w:val="24"/>
        </w:rPr>
        <w:t>homoafetivos</w:t>
      </w:r>
      <w:proofErr w:type="spellEnd"/>
      <w:r w:rsidRPr="00CB115B">
        <w:rPr>
          <w:rFonts w:ascii="Arial" w:hAnsi="Arial" w:cs="Arial"/>
          <w:sz w:val="24"/>
          <w:szCs w:val="24"/>
        </w:rPr>
        <w:t xml:space="preserve">. Entretanto, ainda restavam dúvidas quanto ao casamento </w:t>
      </w:r>
      <w:proofErr w:type="spellStart"/>
      <w:r w:rsidRPr="00CB115B">
        <w:rPr>
          <w:rFonts w:ascii="Arial" w:hAnsi="Arial" w:cs="Arial"/>
          <w:sz w:val="24"/>
          <w:szCs w:val="24"/>
        </w:rPr>
        <w:t>homoafetivo</w:t>
      </w:r>
      <w:proofErr w:type="spellEnd"/>
      <w:r w:rsidRPr="00CB115B">
        <w:rPr>
          <w:rFonts w:ascii="Arial" w:hAnsi="Arial" w:cs="Arial"/>
          <w:sz w:val="24"/>
          <w:szCs w:val="24"/>
        </w:rPr>
        <w:t xml:space="preserve">. Nesse sentido, o julgamento pelo STJ do </w:t>
      </w:r>
      <w:proofErr w:type="spellStart"/>
      <w:r w:rsidRPr="00CB115B">
        <w:rPr>
          <w:rFonts w:ascii="Arial" w:hAnsi="Arial" w:cs="Arial"/>
          <w:sz w:val="24"/>
          <w:szCs w:val="24"/>
        </w:rPr>
        <w:t>REsp</w:t>
      </w:r>
      <w:proofErr w:type="spellEnd"/>
      <w:r w:rsidRPr="00CB115B">
        <w:rPr>
          <w:rFonts w:ascii="Arial" w:hAnsi="Arial" w:cs="Arial"/>
          <w:sz w:val="24"/>
          <w:szCs w:val="24"/>
        </w:rPr>
        <w:t xml:space="preserve"> nº 1183373 RS 2010/0036663-8 vem sanar as lacunas deixadas. No entanto, o tema só é efetivamente pacificado com a publicaçã</w:t>
      </w:r>
      <w:r>
        <w:rPr>
          <w:rFonts w:ascii="Arial" w:hAnsi="Arial" w:cs="Arial"/>
          <w:sz w:val="24"/>
          <w:szCs w:val="24"/>
        </w:rPr>
        <w:t xml:space="preserve">o pelo CNJ da Resolução nº 175, a qual determinou que os oficiais de cartório não podem se negar a converter a união estável </w:t>
      </w:r>
      <w:proofErr w:type="spellStart"/>
      <w:r>
        <w:rPr>
          <w:rFonts w:ascii="Arial" w:hAnsi="Arial" w:cs="Arial"/>
          <w:sz w:val="24"/>
          <w:szCs w:val="24"/>
        </w:rPr>
        <w:t>homoafetiva</w:t>
      </w:r>
      <w:proofErr w:type="spellEnd"/>
      <w:r>
        <w:rPr>
          <w:rFonts w:ascii="Arial" w:hAnsi="Arial" w:cs="Arial"/>
          <w:sz w:val="24"/>
          <w:szCs w:val="24"/>
        </w:rPr>
        <w:t xml:space="preserve"> em casamento.</w:t>
      </w:r>
    </w:p>
    <w:p w14:paraId="05CC3787" w14:textId="77777777" w:rsidR="003773B7" w:rsidRPr="00CB115B" w:rsidRDefault="003773B7" w:rsidP="00CB115B">
      <w:pPr>
        <w:spacing w:line="240" w:lineRule="auto"/>
        <w:jc w:val="both"/>
        <w:rPr>
          <w:rFonts w:ascii="Arial" w:hAnsi="Arial" w:cs="Arial"/>
          <w:sz w:val="24"/>
          <w:szCs w:val="24"/>
        </w:rPr>
      </w:pPr>
      <w:r w:rsidRPr="00CB115B">
        <w:rPr>
          <w:rFonts w:ascii="Arial" w:hAnsi="Arial" w:cs="Arial"/>
          <w:sz w:val="24"/>
          <w:szCs w:val="24"/>
        </w:rPr>
        <w:t xml:space="preserve">                   Foi possível avaliar, também, que o tema </w:t>
      </w:r>
      <w:proofErr w:type="gramStart"/>
      <w:r w:rsidRPr="00CB115B">
        <w:rPr>
          <w:rFonts w:ascii="Arial" w:hAnsi="Arial" w:cs="Arial"/>
          <w:sz w:val="24"/>
          <w:szCs w:val="24"/>
        </w:rPr>
        <w:t>restou-se</w:t>
      </w:r>
      <w:proofErr w:type="gramEnd"/>
      <w:r w:rsidRPr="00CB115B">
        <w:rPr>
          <w:rFonts w:ascii="Arial" w:hAnsi="Arial" w:cs="Arial"/>
          <w:sz w:val="24"/>
          <w:szCs w:val="24"/>
        </w:rPr>
        <w:t xml:space="preserve"> pacificado na jurisprudência, na medida em que, em 2010, ainda se questionava a existência da possibilidade da união estável </w:t>
      </w:r>
      <w:proofErr w:type="spellStart"/>
      <w:r w:rsidRPr="00CB115B">
        <w:rPr>
          <w:rFonts w:ascii="Arial" w:hAnsi="Arial" w:cs="Arial"/>
          <w:sz w:val="24"/>
          <w:szCs w:val="24"/>
        </w:rPr>
        <w:t>homoafetiva</w:t>
      </w:r>
      <w:proofErr w:type="spellEnd"/>
      <w:r w:rsidRPr="00CB115B">
        <w:rPr>
          <w:rFonts w:ascii="Arial" w:hAnsi="Arial" w:cs="Arial"/>
          <w:sz w:val="24"/>
          <w:szCs w:val="24"/>
        </w:rPr>
        <w:t>. Em 2012, evidenciam-</w:t>
      </w:r>
      <w:r w:rsidRPr="00CB115B">
        <w:rPr>
          <w:rFonts w:ascii="Arial" w:hAnsi="Arial" w:cs="Arial"/>
          <w:sz w:val="24"/>
          <w:szCs w:val="24"/>
        </w:rPr>
        <w:lastRenderedPageBreak/>
        <w:t xml:space="preserve">se os reflexos da </w:t>
      </w:r>
      <w:proofErr w:type="spellStart"/>
      <w:r w:rsidRPr="00CB115B">
        <w:rPr>
          <w:rFonts w:ascii="Arial" w:hAnsi="Arial" w:cs="Arial"/>
          <w:sz w:val="24"/>
          <w:szCs w:val="24"/>
        </w:rPr>
        <w:t>ADIn</w:t>
      </w:r>
      <w:proofErr w:type="spellEnd"/>
      <w:r w:rsidRPr="00CB115B">
        <w:rPr>
          <w:rFonts w:ascii="Arial" w:hAnsi="Arial" w:cs="Arial"/>
          <w:sz w:val="24"/>
          <w:szCs w:val="24"/>
        </w:rPr>
        <w:t xml:space="preserve"> nº 4277 e da ADPF nº 132. No entanto, em 2014 e 2016, a discussão passou a ser, em sua maioria, sobre a comprovação ou não da união estável entre casais homossexuais, e não sobre a sua possibilidade de existência em si, o que mostra a pacificação sobre o fato de que a união estável </w:t>
      </w:r>
      <w:proofErr w:type="spellStart"/>
      <w:r w:rsidRPr="00CB115B">
        <w:rPr>
          <w:rFonts w:ascii="Arial" w:hAnsi="Arial" w:cs="Arial"/>
          <w:sz w:val="24"/>
          <w:szCs w:val="24"/>
        </w:rPr>
        <w:t>homoafetiva</w:t>
      </w:r>
      <w:proofErr w:type="spellEnd"/>
      <w:r w:rsidRPr="00CB115B">
        <w:rPr>
          <w:rFonts w:ascii="Arial" w:hAnsi="Arial" w:cs="Arial"/>
          <w:sz w:val="24"/>
          <w:szCs w:val="24"/>
        </w:rPr>
        <w:t xml:space="preserve"> existe e consiste em uma realidade fática, não cabendo mais discussões sobre se ela deve ou não ser tutelada pelo Direito brasileiro, mas apenas se ela foi comprovada ou não pelas partes, através dos meios de prova cabíveis.                        </w:t>
      </w:r>
    </w:p>
    <w:p w14:paraId="067AE3C1" w14:textId="77777777" w:rsidR="003773B7" w:rsidRPr="00CB115B" w:rsidRDefault="003773B7" w:rsidP="00CB115B">
      <w:pPr>
        <w:spacing w:line="240" w:lineRule="auto"/>
        <w:jc w:val="both"/>
        <w:rPr>
          <w:rFonts w:ascii="Arial" w:hAnsi="Arial" w:cs="Arial"/>
          <w:sz w:val="24"/>
          <w:szCs w:val="24"/>
        </w:rPr>
      </w:pPr>
      <w:r w:rsidRPr="00CB115B">
        <w:rPr>
          <w:rFonts w:ascii="Arial" w:hAnsi="Arial" w:cs="Arial"/>
          <w:b/>
          <w:bCs/>
          <w:sz w:val="24"/>
          <w:szCs w:val="24"/>
        </w:rPr>
        <w:t>Conclusões</w:t>
      </w:r>
    </w:p>
    <w:p w14:paraId="33800EF3" w14:textId="52C9F8D8" w:rsidR="003773B7" w:rsidRPr="00CB115B" w:rsidRDefault="003773B7" w:rsidP="00CB115B">
      <w:pPr>
        <w:spacing w:line="240" w:lineRule="auto"/>
        <w:jc w:val="both"/>
        <w:rPr>
          <w:rFonts w:ascii="Arial" w:hAnsi="Arial" w:cs="Arial"/>
          <w:sz w:val="24"/>
          <w:szCs w:val="24"/>
        </w:rPr>
      </w:pPr>
      <w:r w:rsidRPr="00CB115B">
        <w:rPr>
          <w:rFonts w:ascii="Arial" w:hAnsi="Arial" w:cs="Arial"/>
          <w:sz w:val="24"/>
          <w:szCs w:val="24"/>
        </w:rPr>
        <w:t xml:space="preserve">Chega-se à conclusão de que hoje, no Brasil, a jurisprudência sanou a lacuna deixada pela legislação, de modo que a união entre pessoas do mesmo sexo deixa de ser apenas uma realidade fática e torna-se realidade jurídica prevista e pacificada no ordenamento jurídico brasileiro. </w:t>
      </w:r>
      <w:r>
        <w:rPr>
          <w:rFonts w:ascii="Arial" w:hAnsi="Arial" w:cs="Arial"/>
          <w:sz w:val="24"/>
          <w:szCs w:val="24"/>
        </w:rPr>
        <w:t xml:space="preserve">Inclusive, há a possibilidade de casamento direto de casais </w:t>
      </w:r>
      <w:proofErr w:type="spellStart"/>
      <w:r>
        <w:rPr>
          <w:rFonts w:ascii="Arial" w:hAnsi="Arial" w:cs="Arial"/>
          <w:sz w:val="24"/>
          <w:szCs w:val="24"/>
        </w:rPr>
        <w:t>homoafetivos</w:t>
      </w:r>
      <w:proofErr w:type="spellEnd"/>
      <w:r>
        <w:rPr>
          <w:rFonts w:ascii="Arial" w:hAnsi="Arial" w:cs="Arial"/>
          <w:sz w:val="24"/>
          <w:szCs w:val="24"/>
        </w:rPr>
        <w:t>, e não apenas a de conversão da união estável entre pessoas do mesmo sexo em casamento.</w:t>
      </w:r>
    </w:p>
    <w:p w14:paraId="52CA3DB8" w14:textId="77777777" w:rsidR="003773B7" w:rsidRPr="00CB115B" w:rsidRDefault="003773B7" w:rsidP="00CB115B">
      <w:pPr>
        <w:spacing w:line="240" w:lineRule="auto"/>
        <w:jc w:val="both"/>
        <w:rPr>
          <w:rFonts w:ascii="Arial" w:hAnsi="Arial" w:cs="Arial"/>
          <w:sz w:val="24"/>
          <w:szCs w:val="24"/>
        </w:rPr>
      </w:pPr>
      <w:r w:rsidRPr="00CB115B">
        <w:rPr>
          <w:rFonts w:ascii="Arial" w:hAnsi="Arial" w:cs="Arial"/>
          <w:b/>
          <w:bCs/>
          <w:sz w:val="24"/>
          <w:szCs w:val="24"/>
        </w:rPr>
        <w:t xml:space="preserve">Referências Bibliográficas </w:t>
      </w:r>
    </w:p>
    <w:p w14:paraId="33AE9396" w14:textId="77777777" w:rsidR="003773B7" w:rsidRPr="00CB115B" w:rsidRDefault="003773B7" w:rsidP="00CB115B">
      <w:pPr>
        <w:spacing w:line="240" w:lineRule="auto"/>
        <w:jc w:val="both"/>
        <w:rPr>
          <w:rFonts w:ascii="Arial" w:hAnsi="Arial" w:cs="Arial"/>
          <w:sz w:val="24"/>
          <w:szCs w:val="24"/>
        </w:rPr>
      </w:pPr>
      <w:r w:rsidRPr="00CB115B">
        <w:rPr>
          <w:rFonts w:ascii="Arial" w:hAnsi="Arial" w:cs="Arial"/>
          <w:sz w:val="24"/>
          <w:szCs w:val="24"/>
        </w:rPr>
        <w:t>BRASIL. Superior Tribunal Federal. Ação Direta de Inconstitucionalidade nº 4277/DF – Distrito Federal. Relator Ministro Ayres Britto. Pesquisa de Jurisprudência. Acórdãos, 04 mai. 2011. Disponível em: &lt;http://www.stf.jus.br/portal/geral/verPdfPaginado.asp?id=400547&amp;tipo=T</w:t>
      </w:r>
      <w:r w:rsidRPr="00CB115B">
        <w:rPr>
          <w:rFonts w:ascii="Arial" w:hAnsi="Arial" w:cs="Arial"/>
          <w:sz w:val="24"/>
          <w:szCs w:val="24"/>
        </w:rPr>
        <w:lastRenderedPageBreak/>
        <w:t>P&amp;descricao=ADI%2F4277&gt;. Acesso em: 08 out. 2017.</w:t>
      </w:r>
    </w:p>
    <w:p w14:paraId="4B60AFDE" w14:textId="77777777" w:rsidR="003773B7" w:rsidRPr="00CB115B" w:rsidRDefault="003773B7" w:rsidP="00CB115B">
      <w:pPr>
        <w:spacing w:line="240" w:lineRule="auto"/>
        <w:jc w:val="both"/>
        <w:rPr>
          <w:rFonts w:ascii="Arial" w:hAnsi="Arial" w:cs="Arial"/>
          <w:sz w:val="24"/>
          <w:szCs w:val="24"/>
        </w:rPr>
      </w:pPr>
      <w:r w:rsidRPr="00CB115B">
        <w:rPr>
          <w:rFonts w:ascii="Arial" w:hAnsi="Arial" w:cs="Arial"/>
          <w:sz w:val="24"/>
          <w:szCs w:val="24"/>
        </w:rPr>
        <w:t xml:space="preserve">BRASIL. Superior Tribunal de Justiça. Recurso Especial nº 1183378 RS 2010/0036663-8 – Rio Grande do Sul. Relator: Ministro </w:t>
      </w:r>
      <w:proofErr w:type="spellStart"/>
      <w:r w:rsidRPr="00CB115B">
        <w:rPr>
          <w:rFonts w:ascii="Arial" w:hAnsi="Arial" w:cs="Arial"/>
          <w:sz w:val="24"/>
          <w:szCs w:val="24"/>
        </w:rPr>
        <w:t>Luis</w:t>
      </w:r>
      <w:proofErr w:type="spellEnd"/>
      <w:r w:rsidRPr="00CB115B">
        <w:rPr>
          <w:rFonts w:ascii="Arial" w:hAnsi="Arial" w:cs="Arial"/>
          <w:sz w:val="24"/>
          <w:szCs w:val="24"/>
        </w:rPr>
        <w:t xml:space="preserve"> Felipe Salomão. Pesquisa de Jurisprudência, Acórdãos, 25 out. 2011. Disponível em: &lt;https://stj.jusbrasil.com.br/jurisprudencia/21285514/recurso-especial-resp-1183378-rs-2010-0036663-8-stj/inteiro-teor21285515?ref=juris-tabs&gt;. Acesso em: 08 out. 2017. </w:t>
      </w:r>
    </w:p>
    <w:p w14:paraId="5747B156" w14:textId="77777777" w:rsidR="003773B7" w:rsidRDefault="003773B7" w:rsidP="00D05031">
      <w:pPr>
        <w:spacing w:line="240" w:lineRule="auto"/>
        <w:jc w:val="both"/>
        <w:rPr>
          <w:rFonts w:ascii="Arial" w:hAnsi="Arial" w:cs="Arial"/>
          <w:sz w:val="24"/>
          <w:szCs w:val="24"/>
        </w:rPr>
      </w:pPr>
      <w:r w:rsidRPr="00CB115B">
        <w:rPr>
          <w:rFonts w:ascii="Arial" w:hAnsi="Arial" w:cs="Arial"/>
          <w:sz w:val="24"/>
          <w:szCs w:val="24"/>
        </w:rPr>
        <w:t>BRASIL. Conselho Nacional de Justiça. Resolução nº 175. Distrito Federal. Ministro Joaquim Barbosa. 14 mai. 2013. Disponível em: &lt;http://www.cnj.jus.br/images/imprensa/resolucao_n_175</w:t>
      </w:r>
      <w:r>
        <w:rPr>
          <w:rFonts w:ascii="Arial" w:hAnsi="Arial" w:cs="Arial"/>
          <w:sz w:val="24"/>
          <w:szCs w:val="24"/>
        </w:rPr>
        <w:t>.pdf&gt;. Acesso em: 08 out. 2017.</w:t>
      </w:r>
    </w:p>
    <w:p w14:paraId="746B1A56" w14:textId="77777777" w:rsidR="003773B7" w:rsidRPr="00E33C9F" w:rsidRDefault="003773B7" w:rsidP="00D05031">
      <w:pPr>
        <w:spacing w:line="240" w:lineRule="auto"/>
        <w:jc w:val="both"/>
        <w:rPr>
          <w:rFonts w:ascii="Arial" w:hAnsi="Arial" w:cs="Arial"/>
          <w:sz w:val="24"/>
          <w:szCs w:val="24"/>
        </w:rPr>
      </w:pPr>
      <w:r>
        <w:rPr>
          <w:rFonts w:ascii="Arial" w:hAnsi="Arial" w:cs="Arial"/>
          <w:sz w:val="24"/>
          <w:szCs w:val="24"/>
        </w:rPr>
        <w:t xml:space="preserve">DIAS, Maria Berenice. </w:t>
      </w:r>
      <w:r w:rsidRPr="00D14F5A">
        <w:rPr>
          <w:rFonts w:ascii="Arial" w:hAnsi="Arial" w:cs="Arial"/>
          <w:bCs/>
          <w:i/>
          <w:sz w:val="24"/>
          <w:szCs w:val="24"/>
        </w:rPr>
        <w:t>Manual de direito das famílias</w:t>
      </w:r>
      <w:r>
        <w:rPr>
          <w:rFonts w:ascii="Arial" w:hAnsi="Arial" w:cs="Arial"/>
          <w:b/>
          <w:bCs/>
          <w:sz w:val="24"/>
          <w:szCs w:val="24"/>
        </w:rPr>
        <w:t xml:space="preserve">. </w:t>
      </w:r>
      <w:r>
        <w:rPr>
          <w:rFonts w:ascii="Arial" w:hAnsi="Arial" w:cs="Arial"/>
          <w:sz w:val="24"/>
          <w:szCs w:val="24"/>
        </w:rPr>
        <w:t>3 ed. São Paulo: Revista dos Tribunais, 2006.</w:t>
      </w:r>
    </w:p>
    <w:p w14:paraId="4BDE5D3D" w14:textId="77777777" w:rsidR="003773B7" w:rsidRPr="00D05031" w:rsidRDefault="003773B7" w:rsidP="00D05031">
      <w:pPr>
        <w:spacing w:line="240" w:lineRule="auto"/>
        <w:jc w:val="both"/>
        <w:rPr>
          <w:rFonts w:ascii="Arial" w:hAnsi="Arial" w:cs="Arial"/>
          <w:sz w:val="24"/>
          <w:szCs w:val="24"/>
        </w:rPr>
      </w:pPr>
      <w:r>
        <w:rPr>
          <w:rFonts w:ascii="Arial" w:hAnsi="Arial" w:cs="Arial"/>
          <w:sz w:val="24"/>
          <w:szCs w:val="24"/>
        </w:rPr>
        <w:t xml:space="preserve">DIDIER, </w:t>
      </w:r>
      <w:proofErr w:type="spellStart"/>
      <w:r>
        <w:rPr>
          <w:rFonts w:ascii="Arial" w:hAnsi="Arial" w:cs="Arial"/>
          <w:sz w:val="24"/>
          <w:szCs w:val="24"/>
        </w:rPr>
        <w:t>Fredie</w:t>
      </w:r>
      <w:proofErr w:type="spellEnd"/>
      <w:r>
        <w:rPr>
          <w:rFonts w:ascii="Arial" w:hAnsi="Arial" w:cs="Arial"/>
          <w:sz w:val="24"/>
          <w:szCs w:val="24"/>
        </w:rPr>
        <w:t xml:space="preserve">; CUNHA, Leonardo José Carneiro da. </w:t>
      </w:r>
      <w:r w:rsidRPr="00D14F5A">
        <w:rPr>
          <w:rFonts w:ascii="Arial" w:hAnsi="Arial" w:cs="Arial"/>
          <w:bCs/>
          <w:i/>
          <w:sz w:val="24"/>
          <w:szCs w:val="24"/>
        </w:rPr>
        <w:t>Curso de Direito Processual Civil</w:t>
      </w:r>
      <w:r>
        <w:rPr>
          <w:rFonts w:ascii="Arial" w:hAnsi="Arial" w:cs="Arial"/>
          <w:sz w:val="24"/>
          <w:szCs w:val="24"/>
        </w:rPr>
        <w:t xml:space="preserve">. 11 ed. São Paulo: </w:t>
      </w:r>
      <w:proofErr w:type="spellStart"/>
      <w:r>
        <w:rPr>
          <w:rFonts w:ascii="Arial" w:hAnsi="Arial" w:cs="Arial"/>
          <w:sz w:val="24"/>
          <w:szCs w:val="24"/>
        </w:rPr>
        <w:t>Juspodivm</w:t>
      </w:r>
      <w:proofErr w:type="spellEnd"/>
      <w:r>
        <w:rPr>
          <w:rFonts w:ascii="Arial" w:hAnsi="Arial" w:cs="Arial"/>
          <w:sz w:val="24"/>
          <w:szCs w:val="24"/>
        </w:rPr>
        <w:t>, 2011.</w:t>
      </w:r>
    </w:p>
    <w:p w14:paraId="2CABBAB6" w14:textId="77777777" w:rsidR="003773B7" w:rsidRPr="00D05031" w:rsidRDefault="003773B7" w:rsidP="00D05031">
      <w:pPr>
        <w:spacing w:line="240" w:lineRule="auto"/>
        <w:jc w:val="both"/>
        <w:rPr>
          <w:rFonts w:ascii="Arial" w:hAnsi="Arial" w:cs="Arial"/>
          <w:sz w:val="24"/>
          <w:szCs w:val="24"/>
        </w:rPr>
      </w:pPr>
      <w:r>
        <w:rPr>
          <w:rFonts w:ascii="Arial" w:hAnsi="Arial" w:cs="Arial"/>
          <w:sz w:val="24"/>
          <w:szCs w:val="24"/>
        </w:rPr>
        <w:t xml:space="preserve">GAGLIANO, Pablo </w:t>
      </w:r>
      <w:proofErr w:type="spellStart"/>
      <w:r>
        <w:rPr>
          <w:rFonts w:ascii="Arial" w:hAnsi="Arial" w:cs="Arial"/>
          <w:sz w:val="24"/>
          <w:szCs w:val="24"/>
        </w:rPr>
        <w:t>Stolze</w:t>
      </w:r>
      <w:proofErr w:type="spellEnd"/>
      <w:r>
        <w:rPr>
          <w:rFonts w:ascii="Arial" w:hAnsi="Arial" w:cs="Arial"/>
          <w:sz w:val="24"/>
          <w:szCs w:val="24"/>
        </w:rPr>
        <w:t xml:space="preserve">; PAMPLONA FILHO, Rodolfo. </w:t>
      </w:r>
      <w:r w:rsidRPr="00D14F5A">
        <w:rPr>
          <w:rFonts w:ascii="Arial" w:hAnsi="Arial" w:cs="Arial"/>
          <w:bCs/>
          <w:i/>
          <w:sz w:val="24"/>
          <w:szCs w:val="24"/>
        </w:rPr>
        <w:t>Novo curso de direito civil</w:t>
      </w:r>
      <w:r>
        <w:rPr>
          <w:rFonts w:ascii="Arial" w:hAnsi="Arial" w:cs="Arial"/>
          <w:b/>
          <w:bCs/>
          <w:sz w:val="24"/>
          <w:szCs w:val="24"/>
        </w:rPr>
        <w:t xml:space="preserve">. </w:t>
      </w:r>
      <w:r>
        <w:rPr>
          <w:rFonts w:ascii="Arial" w:hAnsi="Arial" w:cs="Arial"/>
          <w:sz w:val="24"/>
          <w:szCs w:val="24"/>
        </w:rPr>
        <w:t>6 ed. São Paulo: Saraiva, 2008.</w:t>
      </w:r>
    </w:p>
    <w:p w14:paraId="5326B1E1" w14:textId="77777777" w:rsidR="003773B7" w:rsidRDefault="003773B7" w:rsidP="00D05031">
      <w:pPr>
        <w:spacing w:line="240" w:lineRule="auto"/>
        <w:jc w:val="both"/>
        <w:rPr>
          <w:rFonts w:ascii="Arial" w:hAnsi="Arial" w:cs="Arial"/>
          <w:sz w:val="24"/>
          <w:szCs w:val="24"/>
        </w:rPr>
      </w:pPr>
      <w:r>
        <w:rPr>
          <w:rFonts w:ascii="Arial" w:hAnsi="Arial" w:cs="Arial"/>
          <w:sz w:val="24"/>
          <w:szCs w:val="24"/>
        </w:rPr>
        <w:t xml:space="preserve">LÔBO, Paulo. </w:t>
      </w:r>
      <w:r w:rsidRPr="00D14F5A">
        <w:rPr>
          <w:rFonts w:ascii="Arial" w:hAnsi="Arial" w:cs="Arial"/>
          <w:bCs/>
          <w:i/>
          <w:sz w:val="24"/>
          <w:szCs w:val="24"/>
        </w:rPr>
        <w:t>Direito Civil – Famílias</w:t>
      </w:r>
      <w:r>
        <w:rPr>
          <w:rFonts w:ascii="Arial" w:hAnsi="Arial" w:cs="Arial"/>
          <w:b/>
          <w:bCs/>
          <w:sz w:val="24"/>
          <w:szCs w:val="24"/>
        </w:rPr>
        <w:t xml:space="preserve">. </w:t>
      </w:r>
      <w:r>
        <w:rPr>
          <w:rFonts w:ascii="Arial" w:hAnsi="Arial" w:cs="Arial"/>
          <w:sz w:val="24"/>
          <w:szCs w:val="24"/>
        </w:rPr>
        <w:t xml:space="preserve">  São Paulo: Saraiva, 2008.</w:t>
      </w:r>
    </w:p>
    <w:p w14:paraId="0E82F5CF" w14:textId="77777777" w:rsidR="003773B7" w:rsidRPr="00E33C9F" w:rsidRDefault="003773B7" w:rsidP="00D05031">
      <w:pPr>
        <w:spacing w:line="240" w:lineRule="auto"/>
        <w:jc w:val="both"/>
        <w:rPr>
          <w:rFonts w:ascii="Arial" w:hAnsi="Arial" w:cs="Arial"/>
          <w:sz w:val="24"/>
          <w:szCs w:val="24"/>
        </w:rPr>
        <w:sectPr w:rsidR="003773B7" w:rsidRPr="00E33C9F" w:rsidSect="00CB115B">
          <w:type w:val="continuous"/>
          <w:pgSz w:w="11906" w:h="16838"/>
          <w:pgMar w:top="1417" w:right="1701" w:bottom="1417" w:left="1701" w:header="708" w:footer="708" w:gutter="0"/>
          <w:cols w:num="2" w:space="454"/>
          <w:docGrid w:linePitch="360"/>
        </w:sectPr>
      </w:pPr>
      <w:r>
        <w:rPr>
          <w:rFonts w:ascii="Arial" w:hAnsi="Arial" w:cs="Arial"/>
          <w:sz w:val="24"/>
          <w:szCs w:val="24"/>
        </w:rPr>
        <w:t xml:space="preserve">TALAVERO, Glauber Moreno. </w:t>
      </w:r>
      <w:r w:rsidRPr="00D14F5A">
        <w:rPr>
          <w:rFonts w:ascii="Arial" w:hAnsi="Arial" w:cs="Arial"/>
          <w:bCs/>
          <w:i/>
          <w:sz w:val="24"/>
          <w:szCs w:val="24"/>
        </w:rPr>
        <w:t>União civil entre pessoas do mesmo sexo.</w:t>
      </w:r>
      <w:r>
        <w:rPr>
          <w:rFonts w:ascii="Arial" w:hAnsi="Arial" w:cs="Arial"/>
          <w:b/>
          <w:bCs/>
          <w:sz w:val="24"/>
          <w:szCs w:val="24"/>
        </w:rPr>
        <w:t xml:space="preserve"> </w:t>
      </w:r>
      <w:r>
        <w:rPr>
          <w:rFonts w:ascii="Arial" w:hAnsi="Arial" w:cs="Arial"/>
          <w:sz w:val="24"/>
          <w:szCs w:val="24"/>
        </w:rPr>
        <w:t>Rio de Janeiro: Forense, 2004.</w:t>
      </w:r>
    </w:p>
    <w:p w14:paraId="511CBD59" w14:textId="77777777" w:rsidR="003773B7" w:rsidRPr="00CB115B" w:rsidRDefault="003773B7" w:rsidP="00CB115B">
      <w:pPr>
        <w:spacing w:line="240" w:lineRule="auto"/>
        <w:rPr>
          <w:sz w:val="24"/>
          <w:szCs w:val="24"/>
        </w:rPr>
      </w:pPr>
    </w:p>
    <w:sectPr w:rsidR="003773B7" w:rsidRPr="00CB115B" w:rsidSect="00921235">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7B496" w14:textId="77777777" w:rsidR="00966374" w:rsidRDefault="00966374" w:rsidP="00921235">
      <w:pPr>
        <w:spacing w:after="0" w:line="240" w:lineRule="auto"/>
      </w:pPr>
      <w:r>
        <w:separator/>
      </w:r>
    </w:p>
  </w:endnote>
  <w:endnote w:type="continuationSeparator" w:id="0">
    <w:p w14:paraId="481AC4B3" w14:textId="77777777" w:rsidR="00966374" w:rsidRDefault="00966374" w:rsidP="0092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8CD2E" w14:textId="77777777" w:rsidR="00966374" w:rsidRDefault="00966374" w:rsidP="00921235">
      <w:pPr>
        <w:spacing w:after="0" w:line="240" w:lineRule="auto"/>
      </w:pPr>
      <w:r>
        <w:separator/>
      </w:r>
    </w:p>
  </w:footnote>
  <w:footnote w:type="continuationSeparator" w:id="0">
    <w:p w14:paraId="23FE5DEB" w14:textId="77777777" w:rsidR="00966374" w:rsidRDefault="00966374" w:rsidP="009212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35"/>
    <w:rsid w:val="000C2B82"/>
    <w:rsid w:val="00123F8A"/>
    <w:rsid w:val="001338F3"/>
    <w:rsid w:val="001458B6"/>
    <w:rsid w:val="001705F3"/>
    <w:rsid w:val="001F16A6"/>
    <w:rsid w:val="00296CAB"/>
    <w:rsid w:val="003773B7"/>
    <w:rsid w:val="003E553A"/>
    <w:rsid w:val="00401ECD"/>
    <w:rsid w:val="005F3411"/>
    <w:rsid w:val="008A0196"/>
    <w:rsid w:val="00921235"/>
    <w:rsid w:val="00966374"/>
    <w:rsid w:val="00CB115B"/>
    <w:rsid w:val="00D05031"/>
    <w:rsid w:val="00D14D7F"/>
    <w:rsid w:val="00D14F5A"/>
    <w:rsid w:val="00E33C9F"/>
    <w:rsid w:val="00EF3F92"/>
    <w:rsid w:val="00F4175E"/>
    <w:rsid w:val="00F863D5"/>
    <w:rsid w:val="00FC6D2A"/>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E7C3E2"/>
  <w15:docId w15:val="{2A60BA10-D184-4727-AFB9-DF7FCA2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1ECD"/>
    <w:pPr>
      <w:spacing w:after="200" w:line="276" w:lineRule="auto"/>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92123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921235"/>
  </w:style>
  <w:style w:type="paragraph" w:styleId="Rodap">
    <w:name w:val="footer"/>
    <w:basedOn w:val="Normal"/>
    <w:link w:val="RodapChar"/>
    <w:uiPriority w:val="99"/>
    <w:semiHidden/>
    <w:rsid w:val="00921235"/>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921235"/>
  </w:style>
  <w:style w:type="character" w:styleId="Hiperlink">
    <w:name w:val="Hyperlink"/>
    <w:uiPriority w:val="99"/>
    <w:rsid w:val="00CB11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5051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667</Words>
  <Characters>4018</Characters>
  <Application>Microsoft Macintosh Word</Application>
  <DocSecurity>0</DocSecurity>
  <Lines>33</Lines>
  <Paragraphs>9</Paragraphs>
  <ScaleCrop>false</ScaleCrop>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PACIFICAÇÃO DA UNIÃO ESTÁVEL E CASAMENTO HOMOAFETIVOS NO ORDENAMENTO JURÍDICO BRASILEIRO</dc:title>
  <dc:subject/>
  <dc:creator>Rosa</dc:creator>
  <cp:keywords/>
  <dc:description/>
  <cp:lastModifiedBy>Cíntia Rosa Pereira de Lima</cp:lastModifiedBy>
  <cp:revision>3</cp:revision>
  <dcterms:created xsi:type="dcterms:W3CDTF">2017-11-28T12:52:00Z</dcterms:created>
  <dcterms:modified xsi:type="dcterms:W3CDTF">2017-11-28T12:55:00Z</dcterms:modified>
</cp:coreProperties>
</file>