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CFF42" w14:textId="77777777" w:rsidR="009653AC" w:rsidRPr="0039093D" w:rsidRDefault="009653AC" w:rsidP="008279E4">
      <w:pPr>
        <w:pStyle w:val="Corpodetexto"/>
      </w:pPr>
    </w:p>
    <w:p w14:paraId="06D96517" w14:textId="77777777" w:rsidR="009653AC" w:rsidRPr="0039093D" w:rsidRDefault="009653AC" w:rsidP="006B007B">
      <w:pPr>
        <w:pStyle w:val="Corpodetexto"/>
        <w:spacing w:before="4" w:line="360" w:lineRule="auto"/>
        <w:rPr>
          <w:sz w:val="28"/>
        </w:rPr>
      </w:pPr>
    </w:p>
    <w:p w14:paraId="5D07DC39" w14:textId="77777777" w:rsidR="0039093D" w:rsidRDefault="00BA52C6" w:rsidP="006B007B">
      <w:pPr>
        <w:pStyle w:val="Ttulo1"/>
        <w:spacing w:before="92" w:line="360" w:lineRule="auto"/>
        <w:ind w:right="110" w:hanging="22"/>
        <w:jc w:val="center"/>
        <w:rPr>
          <w:lang w:val="pt-BR"/>
        </w:rPr>
      </w:pPr>
      <w:bookmarkStart w:id="0" w:name="_GoBack"/>
      <w:r w:rsidRPr="0039093D">
        <w:rPr>
          <w:lang w:val="pt-BR"/>
        </w:rPr>
        <w:t xml:space="preserve">A </w:t>
      </w:r>
      <w:r w:rsidRPr="0039093D">
        <w:rPr>
          <w:spacing w:val="-2"/>
          <w:lang w:val="pt-BR"/>
        </w:rPr>
        <w:t xml:space="preserve">MUTABILIDADE </w:t>
      </w:r>
      <w:r w:rsidRPr="0039093D">
        <w:rPr>
          <w:lang w:val="pt-BR"/>
        </w:rPr>
        <w:t xml:space="preserve">DO CONCEITO DE </w:t>
      </w:r>
      <w:r w:rsidRPr="0039093D">
        <w:rPr>
          <w:spacing w:val="-3"/>
          <w:lang w:val="pt-BR"/>
        </w:rPr>
        <w:t xml:space="preserve">FAMÍLIA </w:t>
      </w:r>
      <w:r w:rsidRPr="0039093D">
        <w:rPr>
          <w:lang w:val="pt-BR"/>
        </w:rPr>
        <w:t>NA ORDEM CONSTITUCI</w:t>
      </w:r>
      <w:r w:rsidR="00C90CD7">
        <w:rPr>
          <w:lang w:val="pt-BR"/>
        </w:rPr>
        <w:t>ONAL DE 1988</w:t>
      </w:r>
      <w:bookmarkEnd w:id="0"/>
    </w:p>
    <w:p w14:paraId="119871BE" w14:textId="77777777" w:rsidR="0039093D" w:rsidRDefault="00BA52C6" w:rsidP="006B007B">
      <w:pPr>
        <w:pStyle w:val="Ttulo1"/>
        <w:spacing w:before="92" w:line="360" w:lineRule="auto"/>
        <w:ind w:right="110" w:hanging="22"/>
        <w:jc w:val="center"/>
        <w:rPr>
          <w:lang w:val="pt-BR"/>
        </w:rPr>
      </w:pPr>
      <w:r w:rsidRPr="0039093D">
        <w:rPr>
          <w:lang w:val="pt-BR"/>
        </w:rPr>
        <w:t>Faculdad</w:t>
      </w:r>
      <w:r w:rsidR="00D42C05">
        <w:rPr>
          <w:lang w:val="pt-BR"/>
        </w:rPr>
        <w:t>e de Direito de Ribeirão Preto da</w:t>
      </w:r>
      <w:r w:rsidRPr="0039093D">
        <w:rPr>
          <w:lang w:val="pt-BR"/>
        </w:rPr>
        <w:t xml:space="preserve"> Universidade de São Paulo</w:t>
      </w:r>
    </w:p>
    <w:p w14:paraId="2050433E" w14:textId="192D1410" w:rsidR="009653AC" w:rsidRPr="008279E4" w:rsidRDefault="00734E1D" w:rsidP="006B007B">
      <w:pPr>
        <w:pStyle w:val="Ttulo1"/>
        <w:spacing w:before="92" w:line="360" w:lineRule="auto"/>
        <w:ind w:right="110" w:hanging="22"/>
        <w:jc w:val="center"/>
        <w:rPr>
          <w:b w:val="0"/>
          <w:lang w:val="fr-FR"/>
        </w:rPr>
        <w:sectPr w:rsidR="009653AC" w:rsidRPr="008279E4" w:rsidSect="0039093D">
          <w:type w:val="continuous"/>
          <w:pgSz w:w="11900" w:h="16840"/>
          <w:pgMar w:top="1871" w:right="1474" w:bottom="2381" w:left="1474" w:header="720" w:footer="720" w:gutter="0"/>
          <w:cols w:space="720"/>
        </w:sectPr>
      </w:pPr>
      <w:r w:rsidRPr="008279E4">
        <w:rPr>
          <w:b w:val="0"/>
          <w:lang w:val="fr-FR"/>
        </w:rPr>
        <w:t>Gabrielli Duarte</w:t>
      </w:r>
      <w:r w:rsidR="00BA52C6" w:rsidRPr="008279E4">
        <w:rPr>
          <w:b w:val="0"/>
          <w:lang w:val="fr-FR"/>
        </w:rPr>
        <w:t>;</w:t>
      </w:r>
      <w:r w:rsidR="008279E4" w:rsidRPr="008279E4">
        <w:rPr>
          <w:b w:val="0"/>
          <w:lang w:val="fr-FR"/>
        </w:rPr>
        <w:t xml:space="preserve"> </w:t>
      </w:r>
      <w:r w:rsidR="001B3676">
        <w:rPr>
          <w:b w:val="0"/>
          <w:lang w:val="fr-FR"/>
        </w:rPr>
        <w:t>Guilherme Bellini Calzado</w:t>
      </w:r>
    </w:p>
    <w:p w14:paraId="5586F829" w14:textId="77777777" w:rsidR="009653AC" w:rsidRPr="0039093D" w:rsidRDefault="00BA52C6" w:rsidP="00DE1A73">
      <w:pPr>
        <w:pStyle w:val="Ttulo1"/>
        <w:ind w:left="720" w:right="1536" w:firstLine="720"/>
        <w:jc w:val="center"/>
        <w:rPr>
          <w:sz w:val="24"/>
          <w:szCs w:val="20"/>
          <w:lang w:val="pt-BR"/>
        </w:rPr>
      </w:pPr>
      <w:r w:rsidRPr="0039093D">
        <w:rPr>
          <w:sz w:val="24"/>
          <w:szCs w:val="20"/>
          <w:lang w:val="pt-BR"/>
        </w:rPr>
        <w:lastRenderedPageBreak/>
        <w:t>Objetivos</w:t>
      </w:r>
    </w:p>
    <w:p w14:paraId="35EB1576" w14:textId="24E41BCC" w:rsidR="008279E4" w:rsidRDefault="008279E4" w:rsidP="0039093D">
      <w:pPr>
        <w:pStyle w:val="Corpodetexto"/>
        <w:ind w:right="108"/>
        <w:jc w:val="both"/>
        <w:rPr>
          <w:lang w:val="pt-BR"/>
        </w:rPr>
      </w:pPr>
      <w:r>
        <w:rPr>
          <w:lang w:val="pt-BR"/>
        </w:rPr>
        <w:t xml:space="preserve">A Constituição Federal de 1988 não positivou novo conceito jurídico de família, ainda que a concepção de tal entidade estivesse </w:t>
      </w:r>
      <w:r w:rsidR="008F4FBF">
        <w:rPr>
          <w:lang w:val="pt-BR"/>
        </w:rPr>
        <w:t xml:space="preserve">passando </w:t>
      </w:r>
      <w:r>
        <w:rPr>
          <w:lang w:val="pt-BR"/>
        </w:rPr>
        <w:t xml:space="preserve">por </w:t>
      </w:r>
      <w:r w:rsidR="00FE70A4">
        <w:rPr>
          <w:lang w:val="pt-BR"/>
        </w:rPr>
        <w:t>adaptações</w:t>
      </w:r>
      <w:r>
        <w:rPr>
          <w:lang w:val="pt-BR"/>
        </w:rPr>
        <w:t xml:space="preserve"> previa</w:t>
      </w:r>
      <w:r w:rsidR="00FE70A4">
        <w:rPr>
          <w:lang w:val="pt-BR"/>
        </w:rPr>
        <w:t>mente à promulgação da Carta. Via</w:t>
      </w:r>
      <w:r>
        <w:rPr>
          <w:lang w:val="pt-BR"/>
        </w:rPr>
        <w:t>-se, portanto, a postura do legislador</w:t>
      </w:r>
      <w:r w:rsidR="00153D9A">
        <w:rPr>
          <w:lang w:val="pt-BR"/>
        </w:rPr>
        <w:t>-constituinte</w:t>
      </w:r>
      <w:r>
        <w:rPr>
          <w:lang w:val="pt-BR"/>
        </w:rPr>
        <w:t xml:space="preserve"> em evitar </w:t>
      </w:r>
      <w:r w:rsidR="00FE70A4">
        <w:rPr>
          <w:lang w:val="pt-BR"/>
        </w:rPr>
        <w:t xml:space="preserve">a </w:t>
      </w:r>
      <w:r>
        <w:rPr>
          <w:lang w:val="pt-BR"/>
        </w:rPr>
        <w:t xml:space="preserve">adoção de posicionamentos radicais em questões controvertidas. Os tribunais, por sua vez, inverteram tal lógica: o conceito de família </w:t>
      </w:r>
      <w:r w:rsidR="00FE70A4">
        <w:rPr>
          <w:lang w:val="pt-BR"/>
        </w:rPr>
        <w:t xml:space="preserve">passa </w:t>
      </w:r>
      <w:r>
        <w:rPr>
          <w:lang w:val="pt-BR"/>
        </w:rPr>
        <w:t xml:space="preserve">por </w:t>
      </w:r>
      <w:r w:rsidR="00FE70A4">
        <w:rPr>
          <w:lang w:val="pt-BR"/>
        </w:rPr>
        <w:t>um processo de mutabilidade</w:t>
      </w:r>
      <w:r w:rsidR="00153D9A">
        <w:rPr>
          <w:lang w:val="pt-BR"/>
        </w:rPr>
        <w:t xml:space="preserve"> fática</w:t>
      </w:r>
      <w:r w:rsidR="00FE70A4">
        <w:rPr>
          <w:lang w:val="pt-BR"/>
        </w:rPr>
        <w:t xml:space="preserve"> intenso</w:t>
      </w:r>
      <w:r>
        <w:rPr>
          <w:lang w:val="pt-BR"/>
        </w:rPr>
        <w:t xml:space="preserve">, </w:t>
      </w:r>
      <w:r w:rsidR="00FE70A4">
        <w:rPr>
          <w:lang w:val="pt-BR"/>
        </w:rPr>
        <w:t>que não pôde ser desconsiderado</w:t>
      </w:r>
      <w:r>
        <w:rPr>
          <w:lang w:val="pt-BR"/>
        </w:rPr>
        <w:t xml:space="preserve"> pelas cortes brasileiras. </w:t>
      </w:r>
    </w:p>
    <w:p w14:paraId="16A31E2C" w14:textId="77777777" w:rsidR="008279E4" w:rsidRDefault="008279E4" w:rsidP="0039093D">
      <w:pPr>
        <w:pStyle w:val="Corpodetexto"/>
        <w:ind w:right="108"/>
        <w:jc w:val="both"/>
        <w:rPr>
          <w:lang w:val="pt-BR"/>
        </w:rPr>
      </w:pPr>
    </w:p>
    <w:p w14:paraId="0AC92A58" w14:textId="77777777" w:rsidR="009653AC" w:rsidRPr="00DE1A73" w:rsidRDefault="00BA52C6" w:rsidP="0039093D">
      <w:pPr>
        <w:pStyle w:val="Corpodetexto"/>
        <w:ind w:right="108"/>
        <w:jc w:val="both"/>
        <w:rPr>
          <w:spacing w:val="1"/>
          <w:lang w:val="pt-BR"/>
        </w:rPr>
      </w:pPr>
      <w:r w:rsidRPr="0039093D">
        <w:rPr>
          <w:lang w:val="pt-BR"/>
        </w:rPr>
        <w:t>Para auferir de que maneira essa</w:t>
      </w:r>
      <w:r w:rsidR="008279E4">
        <w:rPr>
          <w:lang w:val="pt-BR"/>
        </w:rPr>
        <w:t xml:space="preserve"> mutabilidade tem sido </w:t>
      </w:r>
      <w:r w:rsidR="00DE1A73">
        <w:rPr>
          <w:lang w:val="pt-BR"/>
        </w:rPr>
        <w:t xml:space="preserve">recepcionada pela </w:t>
      </w:r>
      <w:r w:rsidRPr="0039093D">
        <w:rPr>
          <w:lang w:val="pt-BR"/>
        </w:rPr>
        <w:t xml:space="preserve">jurisprudência, </w:t>
      </w:r>
      <w:r w:rsidR="00734E1D" w:rsidRPr="0039093D">
        <w:rPr>
          <w:lang w:val="pt-BR"/>
        </w:rPr>
        <w:t>este trabalho tem por objetivo analisar alguns julgamentos paradigmáticos da última década</w:t>
      </w:r>
      <w:r w:rsidR="008279E4">
        <w:rPr>
          <w:spacing w:val="1"/>
          <w:lang w:val="pt-BR"/>
        </w:rPr>
        <w:t xml:space="preserve">, como o da </w:t>
      </w:r>
      <w:r w:rsidRPr="0039093D">
        <w:rPr>
          <w:lang w:val="pt-BR"/>
        </w:rPr>
        <w:t xml:space="preserve">ADI 4277 e da ADP 132, que </w:t>
      </w:r>
      <w:r w:rsidRPr="0039093D">
        <w:rPr>
          <w:spacing w:val="3"/>
          <w:lang w:val="pt-BR"/>
        </w:rPr>
        <w:t xml:space="preserve">reconheceu </w:t>
      </w:r>
      <w:r w:rsidRPr="0039093D">
        <w:rPr>
          <w:lang w:val="pt-BR"/>
        </w:rPr>
        <w:t xml:space="preserve">a </w:t>
      </w:r>
      <w:r w:rsidRPr="0039093D">
        <w:rPr>
          <w:spacing w:val="3"/>
          <w:lang w:val="pt-BR"/>
        </w:rPr>
        <w:t xml:space="preserve">igualdade entre </w:t>
      </w:r>
      <w:r w:rsidRPr="0039093D">
        <w:rPr>
          <w:spacing w:val="1"/>
          <w:lang w:val="pt-BR"/>
        </w:rPr>
        <w:t xml:space="preserve">as </w:t>
      </w:r>
      <w:r w:rsidRPr="0039093D">
        <w:rPr>
          <w:spacing w:val="3"/>
          <w:lang w:val="pt-BR"/>
        </w:rPr>
        <w:t xml:space="preserve">uniões </w:t>
      </w:r>
      <w:r w:rsidRPr="0039093D">
        <w:rPr>
          <w:lang w:val="pt-BR"/>
        </w:rPr>
        <w:t>homoafetivas e heteroafetivas</w:t>
      </w:r>
      <w:r w:rsidR="008279E4">
        <w:rPr>
          <w:lang w:val="pt-BR"/>
        </w:rPr>
        <w:t>;</w:t>
      </w:r>
      <w:r w:rsidRPr="0039093D">
        <w:rPr>
          <w:lang w:val="pt-BR"/>
        </w:rPr>
        <w:t xml:space="preserve"> e do julgamento do RE 878.694, que equiparou a união estável </w:t>
      </w:r>
      <w:r w:rsidRPr="0039093D">
        <w:rPr>
          <w:spacing w:val="5"/>
          <w:lang w:val="pt-BR"/>
        </w:rPr>
        <w:t>ao</w:t>
      </w:r>
      <w:r w:rsidRPr="0039093D">
        <w:rPr>
          <w:spacing w:val="66"/>
          <w:lang w:val="pt-BR"/>
        </w:rPr>
        <w:t xml:space="preserve"> </w:t>
      </w:r>
      <w:r w:rsidRPr="0039093D">
        <w:rPr>
          <w:spacing w:val="10"/>
          <w:lang w:val="pt-BR"/>
        </w:rPr>
        <w:t xml:space="preserve">casamento </w:t>
      </w:r>
      <w:r w:rsidRPr="0039093D">
        <w:rPr>
          <w:spacing w:val="8"/>
          <w:lang w:val="pt-BR"/>
        </w:rPr>
        <w:t xml:space="preserve">para </w:t>
      </w:r>
      <w:r w:rsidRPr="0039093D">
        <w:rPr>
          <w:spacing w:val="10"/>
          <w:lang w:val="pt-BR"/>
        </w:rPr>
        <w:t xml:space="preserve">efeitos </w:t>
      </w:r>
      <w:r w:rsidRPr="0039093D">
        <w:rPr>
          <w:spacing w:val="5"/>
          <w:lang w:val="pt-BR"/>
        </w:rPr>
        <w:t>de</w:t>
      </w:r>
      <w:r w:rsidRPr="0039093D">
        <w:rPr>
          <w:spacing w:val="66"/>
          <w:lang w:val="pt-BR"/>
        </w:rPr>
        <w:t xml:space="preserve"> </w:t>
      </w:r>
      <w:r w:rsidRPr="0039093D">
        <w:rPr>
          <w:spacing w:val="10"/>
          <w:lang w:val="pt-BR"/>
        </w:rPr>
        <w:t xml:space="preserve">direitos </w:t>
      </w:r>
      <w:r w:rsidRPr="0039093D">
        <w:rPr>
          <w:lang w:val="pt-BR"/>
        </w:rPr>
        <w:t>hereditários.</w:t>
      </w:r>
      <w:r w:rsidR="00734E1D" w:rsidRPr="0039093D">
        <w:rPr>
          <w:lang w:val="pt-BR"/>
        </w:rPr>
        <w:t xml:space="preserve"> </w:t>
      </w:r>
      <w:r w:rsidRPr="0039093D">
        <w:rPr>
          <w:lang w:val="pt-BR"/>
        </w:rPr>
        <w:t>Diante disso, apresenta-se como objetivo maior da pesquisa demonstrar que o conceito</w:t>
      </w:r>
      <w:r w:rsidRPr="0039093D">
        <w:rPr>
          <w:spacing w:val="35"/>
          <w:lang w:val="pt-BR"/>
        </w:rPr>
        <w:t xml:space="preserve"> </w:t>
      </w:r>
      <w:r w:rsidRPr="0039093D">
        <w:rPr>
          <w:lang w:val="pt-BR"/>
        </w:rPr>
        <w:t>de</w:t>
      </w:r>
      <w:r w:rsidRPr="0039093D">
        <w:rPr>
          <w:spacing w:val="35"/>
          <w:lang w:val="pt-BR"/>
        </w:rPr>
        <w:t xml:space="preserve"> </w:t>
      </w:r>
      <w:r w:rsidRPr="0039093D">
        <w:rPr>
          <w:lang w:val="pt-BR"/>
        </w:rPr>
        <w:t>família</w:t>
      </w:r>
      <w:r w:rsidRPr="0039093D">
        <w:rPr>
          <w:spacing w:val="35"/>
          <w:lang w:val="pt-BR"/>
        </w:rPr>
        <w:t xml:space="preserve"> </w:t>
      </w:r>
      <w:r w:rsidRPr="0039093D">
        <w:rPr>
          <w:lang w:val="pt-BR"/>
        </w:rPr>
        <w:t>não</w:t>
      </w:r>
      <w:r w:rsidRPr="0039093D">
        <w:rPr>
          <w:spacing w:val="35"/>
          <w:lang w:val="pt-BR"/>
        </w:rPr>
        <w:t xml:space="preserve"> </w:t>
      </w:r>
      <w:r w:rsidRPr="0039093D">
        <w:rPr>
          <w:lang w:val="pt-BR"/>
        </w:rPr>
        <w:t>é</w:t>
      </w:r>
      <w:r w:rsidRPr="0039093D">
        <w:rPr>
          <w:spacing w:val="35"/>
          <w:lang w:val="pt-BR"/>
        </w:rPr>
        <w:t xml:space="preserve"> </w:t>
      </w:r>
      <w:r w:rsidR="008279E4" w:rsidRPr="0039093D">
        <w:rPr>
          <w:lang w:val="pt-BR"/>
        </w:rPr>
        <w:t>estático</w:t>
      </w:r>
      <w:r w:rsidR="008279E4" w:rsidRPr="0039093D">
        <w:rPr>
          <w:spacing w:val="35"/>
          <w:lang w:val="pt-BR"/>
        </w:rPr>
        <w:t xml:space="preserve"> </w:t>
      </w:r>
      <w:r w:rsidR="008279E4">
        <w:rPr>
          <w:spacing w:val="35"/>
          <w:lang w:val="pt-BR"/>
        </w:rPr>
        <w:t xml:space="preserve">e </w:t>
      </w:r>
      <w:r w:rsidRPr="0039093D">
        <w:rPr>
          <w:lang w:val="pt-BR"/>
        </w:rPr>
        <w:t>como</w:t>
      </w:r>
      <w:r w:rsidRPr="0039093D">
        <w:rPr>
          <w:spacing w:val="35"/>
          <w:lang w:val="pt-BR"/>
        </w:rPr>
        <w:t xml:space="preserve"> </w:t>
      </w:r>
      <w:r w:rsidRPr="0039093D">
        <w:rPr>
          <w:lang w:val="pt-BR"/>
        </w:rPr>
        <w:t xml:space="preserve">os tribunais </w:t>
      </w:r>
      <w:r w:rsidR="00734E1D" w:rsidRPr="0039093D">
        <w:rPr>
          <w:lang w:val="pt-BR"/>
        </w:rPr>
        <w:t>têm recepcionado</w:t>
      </w:r>
      <w:r w:rsidR="008279E4">
        <w:rPr>
          <w:lang w:val="pt-BR"/>
        </w:rPr>
        <w:t xml:space="preserve"> tais</w:t>
      </w:r>
      <w:r w:rsidRPr="0039093D">
        <w:rPr>
          <w:lang w:val="pt-BR"/>
        </w:rPr>
        <w:t xml:space="preserve"> mudanças.</w:t>
      </w:r>
    </w:p>
    <w:p w14:paraId="626A39D3" w14:textId="77777777" w:rsidR="0039093D" w:rsidRPr="0039093D" w:rsidRDefault="0039093D" w:rsidP="0039093D">
      <w:pPr>
        <w:pStyle w:val="Corpodetexto"/>
        <w:ind w:right="108"/>
        <w:jc w:val="both"/>
        <w:rPr>
          <w:lang w:val="pt-BR"/>
        </w:rPr>
      </w:pPr>
    </w:p>
    <w:p w14:paraId="203934E9" w14:textId="77777777" w:rsidR="009653AC" w:rsidRPr="0039093D" w:rsidRDefault="00BA52C6" w:rsidP="0039093D">
      <w:pPr>
        <w:pStyle w:val="Ttulo1"/>
        <w:jc w:val="center"/>
        <w:rPr>
          <w:sz w:val="24"/>
          <w:szCs w:val="20"/>
          <w:lang w:val="pt-BR"/>
        </w:rPr>
      </w:pPr>
      <w:r w:rsidRPr="0039093D">
        <w:rPr>
          <w:sz w:val="24"/>
          <w:szCs w:val="20"/>
          <w:lang w:val="pt-BR"/>
        </w:rPr>
        <w:t>Métodos e Procedimentos</w:t>
      </w:r>
    </w:p>
    <w:p w14:paraId="50329322" w14:textId="3BD433C3" w:rsidR="0039093D" w:rsidRPr="001B3676" w:rsidRDefault="00BA52C6" w:rsidP="001B3676">
      <w:pPr>
        <w:pStyle w:val="Corpodetexto"/>
        <w:ind w:left="100" w:right="8"/>
        <w:jc w:val="both"/>
        <w:rPr>
          <w:lang w:val="pt-BR"/>
        </w:rPr>
      </w:pPr>
      <w:r w:rsidRPr="0039093D">
        <w:rPr>
          <w:lang w:val="pt-BR"/>
        </w:rPr>
        <w:t xml:space="preserve">A </w:t>
      </w:r>
      <w:r w:rsidRPr="0039093D">
        <w:rPr>
          <w:spacing w:val="15"/>
          <w:lang w:val="pt-BR"/>
        </w:rPr>
        <w:t xml:space="preserve">pesquisa analisou </w:t>
      </w:r>
      <w:r w:rsidRPr="0039093D">
        <w:rPr>
          <w:spacing w:val="11"/>
          <w:lang w:val="pt-BR"/>
        </w:rPr>
        <w:t xml:space="preserve">uma </w:t>
      </w:r>
      <w:r w:rsidRPr="0039093D">
        <w:rPr>
          <w:spacing w:val="15"/>
          <w:lang w:val="pt-BR"/>
        </w:rPr>
        <w:t xml:space="preserve">seleção </w:t>
      </w:r>
      <w:r w:rsidRPr="0039093D">
        <w:rPr>
          <w:spacing w:val="8"/>
          <w:lang w:val="pt-BR"/>
        </w:rPr>
        <w:t xml:space="preserve">de </w:t>
      </w:r>
      <w:r w:rsidRPr="0039093D">
        <w:rPr>
          <w:lang w:val="pt-BR"/>
        </w:rPr>
        <w:t xml:space="preserve">julgamentos dos tribunais superiores brasileiros já considerados paradigmáticos, dentre os quais destaca-se: ADI 4277; ADP 132; RE 878.694; </w:t>
      </w:r>
      <w:proofErr w:type="spellStart"/>
      <w:r w:rsidRPr="0039093D">
        <w:rPr>
          <w:lang w:val="pt-BR"/>
        </w:rPr>
        <w:t>REsp</w:t>
      </w:r>
      <w:proofErr w:type="spellEnd"/>
      <w:r w:rsidRPr="0039093D">
        <w:rPr>
          <w:lang w:val="pt-BR"/>
        </w:rPr>
        <w:t xml:space="preserve"> 1.203.144-RS, entre outro</w:t>
      </w:r>
      <w:r w:rsidR="008279E4">
        <w:rPr>
          <w:lang w:val="pt-BR"/>
        </w:rPr>
        <w:t>s. O método utilizado</w:t>
      </w:r>
      <w:r w:rsidR="00FE70A4">
        <w:rPr>
          <w:lang w:val="pt-BR"/>
        </w:rPr>
        <w:t xml:space="preserve"> foi o jurídico-</w:t>
      </w:r>
      <w:r w:rsidRPr="0039093D">
        <w:rPr>
          <w:spacing w:val="5"/>
          <w:lang w:val="pt-BR"/>
        </w:rPr>
        <w:t xml:space="preserve">interpretativo </w:t>
      </w:r>
      <w:r w:rsidRPr="0039093D">
        <w:rPr>
          <w:spacing w:val="2"/>
          <w:lang w:val="pt-BR"/>
        </w:rPr>
        <w:t xml:space="preserve">na </w:t>
      </w:r>
      <w:r w:rsidRPr="0039093D">
        <w:rPr>
          <w:spacing w:val="5"/>
          <w:lang w:val="pt-BR"/>
        </w:rPr>
        <w:t xml:space="preserve">análise </w:t>
      </w:r>
      <w:r w:rsidRPr="0039093D">
        <w:rPr>
          <w:spacing w:val="3"/>
          <w:lang w:val="pt-BR"/>
        </w:rPr>
        <w:t xml:space="preserve">dos </w:t>
      </w:r>
      <w:r w:rsidRPr="0039093D">
        <w:rPr>
          <w:spacing w:val="5"/>
          <w:lang w:val="pt-BR"/>
        </w:rPr>
        <w:t>julgados</w:t>
      </w:r>
      <w:r w:rsidR="00FE70A4">
        <w:rPr>
          <w:spacing w:val="5"/>
          <w:lang w:val="pt-BR"/>
        </w:rPr>
        <w:t>;</w:t>
      </w:r>
      <w:r w:rsidRPr="0039093D">
        <w:rPr>
          <w:spacing w:val="5"/>
          <w:lang w:val="pt-BR"/>
        </w:rPr>
        <w:t xml:space="preserve"> </w:t>
      </w:r>
      <w:r w:rsidRPr="0039093D">
        <w:rPr>
          <w:lang w:val="pt-BR"/>
        </w:rPr>
        <w:t>e</w:t>
      </w:r>
      <w:r w:rsidR="00FE70A4">
        <w:rPr>
          <w:lang w:val="pt-BR"/>
        </w:rPr>
        <w:t>,</w:t>
      </w:r>
      <w:r w:rsidRPr="0039093D">
        <w:rPr>
          <w:lang w:val="pt-BR"/>
        </w:rPr>
        <w:t xml:space="preserve"> dedutivo para </w:t>
      </w:r>
      <w:r w:rsidR="00FE70A4">
        <w:rPr>
          <w:lang w:val="pt-BR"/>
        </w:rPr>
        <w:t xml:space="preserve">a </w:t>
      </w:r>
      <w:r w:rsidRPr="0039093D">
        <w:rPr>
          <w:lang w:val="pt-BR"/>
        </w:rPr>
        <w:t>manipulação dos resultados da análise jurisprudencial.</w:t>
      </w:r>
    </w:p>
    <w:p w14:paraId="18799FC4" w14:textId="458ACD66" w:rsidR="00FE70A4" w:rsidRDefault="00FE70A4" w:rsidP="00FE70A4">
      <w:pPr>
        <w:pStyle w:val="Ttulo1"/>
        <w:ind w:left="0"/>
        <w:rPr>
          <w:sz w:val="24"/>
          <w:szCs w:val="20"/>
          <w:lang w:val="pt-BR"/>
        </w:rPr>
      </w:pPr>
    </w:p>
    <w:p w14:paraId="6F1D8EA6" w14:textId="77777777" w:rsidR="009653AC" w:rsidRPr="0039093D" w:rsidRDefault="00BA52C6" w:rsidP="0039093D">
      <w:pPr>
        <w:pStyle w:val="Ttulo1"/>
        <w:ind w:left="0"/>
        <w:jc w:val="center"/>
        <w:rPr>
          <w:sz w:val="24"/>
          <w:szCs w:val="20"/>
          <w:lang w:val="pt-BR"/>
        </w:rPr>
      </w:pPr>
      <w:r w:rsidRPr="0039093D">
        <w:rPr>
          <w:sz w:val="24"/>
          <w:szCs w:val="20"/>
          <w:lang w:val="pt-BR"/>
        </w:rPr>
        <w:t>Resultados</w:t>
      </w:r>
    </w:p>
    <w:p w14:paraId="5BF66E43" w14:textId="7F130E7C" w:rsidR="0039093D" w:rsidRDefault="00193EEE" w:rsidP="0039093D">
      <w:pPr>
        <w:pStyle w:val="Corpodetexto"/>
        <w:ind w:right="207"/>
        <w:jc w:val="both"/>
        <w:rPr>
          <w:lang w:val="pt-BR"/>
        </w:rPr>
      </w:pPr>
      <w:r w:rsidRPr="0039093D">
        <w:rPr>
          <w:lang w:val="pt-BR"/>
        </w:rPr>
        <w:t>Ao analisar</w:t>
      </w:r>
      <w:r w:rsidR="00BA52C6" w:rsidRPr="0039093D">
        <w:rPr>
          <w:lang w:val="pt-BR"/>
        </w:rPr>
        <w:t xml:space="preserve"> os referidos julgados</w:t>
      </w:r>
      <w:r w:rsidRPr="0039093D">
        <w:rPr>
          <w:lang w:val="pt-BR"/>
        </w:rPr>
        <w:t>, detectou-se,</w:t>
      </w:r>
      <w:r w:rsidR="00BA52C6" w:rsidRPr="0039093D">
        <w:rPr>
          <w:lang w:val="pt-BR"/>
        </w:rPr>
        <w:t xml:space="preserve"> </w:t>
      </w:r>
      <w:r w:rsidR="00BA52C6" w:rsidRPr="0039093D">
        <w:rPr>
          <w:lang w:val="pt-BR"/>
        </w:rPr>
        <w:lastRenderedPageBreak/>
        <w:t>ao longo desses dez anos</w:t>
      </w:r>
      <w:r w:rsidRPr="0039093D">
        <w:rPr>
          <w:lang w:val="pt-BR"/>
        </w:rPr>
        <w:t>,</w:t>
      </w:r>
      <w:r w:rsidR="008279E4">
        <w:rPr>
          <w:lang w:val="pt-BR"/>
        </w:rPr>
        <w:t xml:space="preserve"> uma evolução </w:t>
      </w:r>
      <w:r w:rsidR="00BA52C6" w:rsidRPr="0039093D">
        <w:rPr>
          <w:lang w:val="pt-BR"/>
        </w:rPr>
        <w:t>no conceito</w:t>
      </w:r>
      <w:r w:rsidR="002D4DF7">
        <w:rPr>
          <w:lang w:val="pt-BR"/>
        </w:rPr>
        <w:t xml:space="preserve"> jurídico</w:t>
      </w:r>
      <w:r w:rsidR="00BA52C6" w:rsidRPr="0039093D">
        <w:rPr>
          <w:lang w:val="pt-BR"/>
        </w:rPr>
        <w:t xml:space="preserve"> de família</w:t>
      </w:r>
      <w:r w:rsidR="00152841">
        <w:rPr>
          <w:lang w:val="pt-BR"/>
        </w:rPr>
        <w:t>,</w:t>
      </w:r>
      <w:r w:rsidR="00DE1A73">
        <w:rPr>
          <w:lang w:val="pt-BR"/>
        </w:rPr>
        <w:t xml:space="preserve"> a exemplo da equiparação dos direitos da união estável aos do casamento</w:t>
      </w:r>
      <w:r w:rsidR="00152841">
        <w:rPr>
          <w:lang w:val="pt-BR"/>
        </w:rPr>
        <w:t>;</w:t>
      </w:r>
      <w:r w:rsidR="00DE1A73">
        <w:rPr>
          <w:lang w:val="pt-BR"/>
        </w:rPr>
        <w:t xml:space="preserve"> e</w:t>
      </w:r>
      <w:r w:rsidR="00152841">
        <w:rPr>
          <w:lang w:val="pt-BR"/>
        </w:rPr>
        <w:t>, da</w:t>
      </w:r>
      <w:r w:rsidR="00DE1A73">
        <w:rPr>
          <w:lang w:val="pt-BR"/>
        </w:rPr>
        <w:t xml:space="preserve"> união </w:t>
      </w:r>
      <w:proofErr w:type="spellStart"/>
      <w:r w:rsidR="00152841">
        <w:rPr>
          <w:lang w:val="pt-BR"/>
        </w:rPr>
        <w:t>homoafetiva</w:t>
      </w:r>
      <w:proofErr w:type="spellEnd"/>
      <w:r w:rsidR="00DE1A73">
        <w:rPr>
          <w:lang w:val="pt-BR"/>
        </w:rPr>
        <w:t xml:space="preserve"> aos da união </w:t>
      </w:r>
      <w:proofErr w:type="spellStart"/>
      <w:r w:rsidR="00DE1A73">
        <w:rPr>
          <w:lang w:val="pt-BR"/>
        </w:rPr>
        <w:t>heteroafetiva</w:t>
      </w:r>
      <w:proofErr w:type="spellEnd"/>
      <w:r w:rsidR="00DE1A73">
        <w:rPr>
          <w:lang w:val="pt-BR"/>
        </w:rPr>
        <w:t xml:space="preserve">. </w:t>
      </w:r>
      <w:r w:rsidR="00152841">
        <w:rPr>
          <w:lang w:val="pt-BR"/>
        </w:rPr>
        <w:t>T</w:t>
      </w:r>
      <w:r w:rsidR="00BA52C6" w:rsidRPr="0039093D">
        <w:rPr>
          <w:lang w:val="pt-BR"/>
        </w:rPr>
        <w:t xml:space="preserve">al </w:t>
      </w:r>
      <w:r w:rsidR="008279E4">
        <w:rPr>
          <w:lang w:val="pt-BR"/>
        </w:rPr>
        <w:t xml:space="preserve">evolução foi expansivamente </w:t>
      </w:r>
      <w:r w:rsidR="00BA52C6" w:rsidRPr="0039093D">
        <w:rPr>
          <w:spacing w:val="10"/>
          <w:lang w:val="pt-BR"/>
        </w:rPr>
        <w:t xml:space="preserve">recepcionada </w:t>
      </w:r>
      <w:r w:rsidR="00BA52C6" w:rsidRPr="0039093D">
        <w:rPr>
          <w:spacing w:val="7"/>
          <w:lang w:val="pt-BR"/>
        </w:rPr>
        <w:t xml:space="preserve">por </w:t>
      </w:r>
      <w:r w:rsidR="00BA52C6" w:rsidRPr="0039093D">
        <w:rPr>
          <w:spacing w:val="10"/>
          <w:lang w:val="pt-BR"/>
        </w:rPr>
        <w:t xml:space="preserve">nossa </w:t>
      </w:r>
      <w:r w:rsidR="00BA52C6" w:rsidRPr="0039093D">
        <w:rPr>
          <w:spacing w:val="11"/>
          <w:lang w:val="pt-BR"/>
        </w:rPr>
        <w:t xml:space="preserve">jurisprudência, </w:t>
      </w:r>
      <w:r w:rsidR="00BA52C6" w:rsidRPr="0039093D">
        <w:rPr>
          <w:lang w:val="pt-BR"/>
        </w:rPr>
        <w:t>trazendo mudanças sensí</w:t>
      </w:r>
      <w:r w:rsidR="008279E4">
        <w:rPr>
          <w:lang w:val="pt-BR"/>
        </w:rPr>
        <w:t>veis no tratamento dado pelo Judiciário</w:t>
      </w:r>
      <w:r w:rsidR="00715085">
        <w:rPr>
          <w:lang w:val="pt-BR"/>
        </w:rPr>
        <w:t xml:space="preserve"> aos diversos </w:t>
      </w:r>
      <w:r w:rsidR="00BA52C6" w:rsidRPr="0039093D">
        <w:rPr>
          <w:lang w:val="pt-BR"/>
        </w:rPr>
        <w:t xml:space="preserve">tipos </w:t>
      </w:r>
      <w:r w:rsidR="00152841">
        <w:rPr>
          <w:lang w:val="pt-BR"/>
        </w:rPr>
        <w:t>de entidades</w:t>
      </w:r>
      <w:r w:rsidR="008279E4">
        <w:rPr>
          <w:lang w:val="pt-BR"/>
        </w:rPr>
        <w:t xml:space="preserve"> familiares. Assim, verificou-se que o</w:t>
      </w:r>
      <w:r w:rsidR="00BA52C6" w:rsidRPr="0039093D">
        <w:rPr>
          <w:lang w:val="pt-BR"/>
        </w:rPr>
        <w:t xml:space="preserve"> conceito jurídico tradicional desse instituto foi </w:t>
      </w:r>
      <w:r w:rsidR="00BA52C6" w:rsidRPr="0039093D">
        <w:rPr>
          <w:spacing w:val="10"/>
          <w:lang w:val="pt-BR"/>
        </w:rPr>
        <w:t xml:space="preserve">ampliado </w:t>
      </w:r>
      <w:r w:rsidR="00BA52C6" w:rsidRPr="0039093D">
        <w:rPr>
          <w:spacing w:val="8"/>
          <w:lang w:val="pt-BR"/>
        </w:rPr>
        <w:t xml:space="preserve">para </w:t>
      </w:r>
      <w:r w:rsidR="00BA52C6" w:rsidRPr="0039093D">
        <w:rPr>
          <w:spacing w:val="11"/>
          <w:lang w:val="pt-BR"/>
        </w:rPr>
        <w:t xml:space="preserve">compatibilizar-se </w:t>
      </w:r>
      <w:r w:rsidR="00BA52C6" w:rsidRPr="0039093D">
        <w:rPr>
          <w:spacing w:val="7"/>
          <w:lang w:val="pt-BR"/>
        </w:rPr>
        <w:t xml:space="preserve">com </w:t>
      </w:r>
      <w:r w:rsidR="00BA52C6" w:rsidRPr="0039093D">
        <w:rPr>
          <w:lang w:val="pt-BR"/>
        </w:rPr>
        <w:t>a realidade</w:t>
      </w:r>
      <w:r w:rsidR="00BA52C6" w:rsidRPr="0039093D">
        <w:rPr>
          <w:spacing w:val="-1"/>
          <w:lang w:val="pt-BR"/>
        </w:rPr>
        <w:t xml:space="preserve"> </w:t>
      </w:r>
      <w:r w:rsidR="00BA52C6" w:rsidRPr="0039093D">
        <w:rPr>
          <w:lang w:val="pt-BR"/>
        </w:rPr>
        <w:t>fática.</w:t>
      </w:r>
    </w:p>
    <w:p w14:paraId="17F0F934" w14:textId="77777777" w:rsidR="0039093D" w:rsidRDefault="0039093D" w:rsidP="0039093D">
      <w:pPr>
        <w:pStyle w:val="Corpodetexto"/>
        <w:ind w:right="207"/>
        <w:jc w:val="both"/>
        <w:rPr>
          <w:lang w:val="pt-BR"/>
        </w:rPr>
      </w:pPr>
    </w:p>
    <w:p w14:paraId="1294F2D8" w14:textId="77777777" w:rsidR="0039093D" w:rsidRPr="0039093D" w:rsidRDefault="0039093D" w:rsidP="0039093D">
      <w:pPr>
        <w:pStyle w:val="Ttulo1"/>
        <w:ind w:left="1480"/>
        <w:rPr>
          <w:sz w:val="24"/>
          <w:szCs w:val="20"/>
          <w:lang w:val="pt-BR"/>
        </w:rPr>
      </w:pPr>
      <w:r w:rsidRPr="0039093D">
        <w:rPr>
          <w:sz w:val="24"/>
          <w:szCs w:val="20"/>
          <w:lang w:val="pt-BR"/>
        </w:rPr>
        <w:t>Conclusões</w:t>
      </w:r>
    </w:p>
    <w:p w14:paraId="77350FB9" w14:textId="5E17885F" w:rsidR="0039093D" w:rsidRDefault="00BA52C6" w:rsidP="0039093D">
      <w:pPr>
        <w:pStyle w:val="Corpodetexto"/>
        <w:ind w:right="207"/>
        <w:jc w:val="both"/>
        <w:rPr>
          <w:lang w:val="pt-BR"/>
        </w:rPr>
      </w:pPr>
      <w:r w:rsidRPr="0039093D">
        <w:rPr>
          <w:lang w:val="pt-BR"/>
        </w:rPr>
        <w:t>O</w:t>
      </w:r>
      <w:r w:rsidR="008279E4">
        <w:rPr>
          <w:lang w:val="pt-BR"/>
        </w:rPr>
        <w:t xml:space="preserve"> conceito </w:t>
      </w:r>
      <w:r w:rsidR="008B586F">
        <w:rPr>
          <w:lang w:val="pt-BR"/>
        </w:rPr>
        <w:t>jurídico de entidade familiar</w:t>
      </w:r>
      <w:r w:rsidR="008279E4">
        <w:rPr>
          <w:lang w:val="pt-BR"/>
        </w:rPr>
        <w:t xml:space="preserve"> sofreu </w:t>
      </w:r>
      <w:r w:rsidRPr="0039093D">
        <w:rPr>
          <w:lang w:val="pt-BR"/>
        </w:rPr>
        <w:t xml:space="preserve">mutabilidade </w:t>
      </w:r>
      <w:r w:rsidRPr="0039093D">
        <w:rPr>
          <w:spacing w:val="10"/>
          <w:lang w:val="pt-BR"/>
        </w:rPr>
        <w:t xml:space="preserve">considerável </w:t>
      </w:r>
      <w:r w:rsidRPr="0039093D">
        <w:rPr>
          <w:spacing w:val="5"/>
          <w:lang w:val="pt-BR"/>
        </w:rPr>
        <w:t xml:space="preserve">ao </w:t>
      </w:r>
      <w:r w:rsidRPr="0039093D">
        <w:rPr>
          <w:spacing w:val="7"/>
          <w:lang w:val="pt-BR"/>
        </w:rPr>
        <w:t xml:space="preserve">longo </w:t>
      </w:r>
      <w:r w:rsidR="008B586F">
        <w:rPr>
          <w:spacing w:val="8"/>
          <w:lang w:val="pt-BR"/>
        </w:rPr>
        <w:t>do período analisado</w:t>
      </w:r>
      <w:r w:rsidR="00152841">
        <w:rPr>
          <w:lang w:val="pt-BR"/>
        </w:rPr>
        <w:t xml:space="preserve">, deixando de ser considerada apenas como família </w:t>
      </w:r>
      <w:r w:rsidRPr="0039093D">
        <w:rPr>
          <w:lang w:val="pt-BR"/>
        </w:rPr>
        <w:t>a união</w:t>
      </w:r>
      <w:r w:rsidR="00152841">
        <w:rPr>
          <w:lang w:val="pt-BR"/>
        </w:rPr>
        <w:t xml:space="preserve"> </w:t>
      </w:r>
      <w:proofErr w:type="spellStart"/>
      <w:r w:rsidR="00715085">
        <w:rPr>
          <w:lang w:val="pt-BR"/>
        </w:rPr>
        <w:t>matrimonializada</w:t>
      </w:r>
      <w:proofErr w:type="spellEnd"/>
      <w:r w:rsidRPr="0039093D">
        <w:rPr>
          <w:lang w:val="pt-BR"/>
        </w:rPr>
        <w:t xml:space="preserve"> entre homem e mulher. A expansão do conceito, que </w:t>
      </w:r>
      <w:r w:rsidR="008B586F">
        <w:rPr>
          <w:lang w:val="pt-BR"/>
        </w:rPr>
        <w:t xml:space="preserve">já se concretizava </w:t>
      </w:r>
      <w:r w:rsidRPr="0039093D">
        <w:rPr>
          <w:lang w:val="pt-BR"/>
        </w:rPr>
        <w:t xml:space="preserve">na realidade fática, alcançou os tribunais brasileiros, conferindo maior equidade aos cidadãos que fogem à lógica da família tradicional; mas que devem ter </w:t>
      </w:r>
      <w:r w:rsidRPr="0039093D">
        <w:rPr>
          <w:spacing w:val="5"/>
          <w:lang w:val="pt-BR"/>
        </w:rPr>
        <w:t xml:space="preserve">seus direitos resguardados pelo Estado, </w:t>
      </w:r>
      <w:r w:rsidRPr="0039093D">
        <w:rPr>
          <w:lang w:val="pt-BR"/>
        </w:rPr>
        <w:t>contribuindo, assim,</w:t>
      </w:r>
      <w:r w:rsidR="008B586F">
        <w:rPr>
          <w:lang w:val="pt-BR"/>
        </w:rPr>
        <w:t xml:space="preserve"> para</w:t>
      </w:r>
      <w:r w:rsidR="006B007B">
        <w:rPr>
          <w:lang w:val="pt-BR"/>
        </w:rPr>
        <w:t xml:space="preserve"> a </w:t>
      </w:r>
      <w:r w:rsidR="008B586F">
        <w:rPr>
          <w:lang w:val="pt-BR"/>
        </w:rPr>
        <w:t>concretização do princípio</w:t>
      </w:r>
      <w:r w:rsidR="00715085">
        <w:rPr>
          <w:lang w:val="pt-BR"/>
        </w:rPr>
        <w:t xml:space="preserve"> </w:t>
      </w:r>
      <w:r w:rsidR="008B586F">
        <w:rPr>
          <w:lang w:val="pt-BR"/>
        </w:rPr>
        <w:t>constitucional da dignidade da pessoa humana</w:t>
      </w:r>
      <w:r w:rsidRPr="0039093D">
        <w:rPr>
          <w:lang w:val="pt-BR"/>
        </w:rPr>
        <w:t xml:space="preserve">. </w:t>
      </w:r>
    </w:p>
    <w:p w14:paraId="49A92272" w14:textId="77777777" w:rsidR="0039093D" w:rsidRDefault="0039093D" w:rsidP="0039093D">
      <w:pPr>
        <w:pStyle w:val="Corpodetexto"/>
        <w:ind w:right="207"/>
        <w:jc w:val="both"/>
        <w:rPr>
          <w:lang w:val="pt-BR"/>
        </w:rPr>
      </w:pPr>
    </w:p>
    <w:p w14:paraId="789B3B2A" w14:textId="77777777" w:rsidR="0039093D" w:rsidRPr="0039093D" w:rsidRDefault="0039093D" w:rsidP="0039093D">
      <w:pPr>
        <w:pStyle w:val="Ttulo1"/>
        <w:ind w:left="580"/>
        <w:rPr>
          <w:sz w:val="24"/>
          <w:szCs w:val="20"/>
          <w:lang w:val="pt-BR"/>
        </w:rPr>
      </w:pPr>
      <w:r w:rsidRPr="0039093D">
        <w:rPr>
          <w:sz w:val="24"/>
          <w:szCs w:val="20"/>
          <w:lang w:val="pt-BR"/>
        </w:rPr>
        <w:t>Referências Bibliográficas</w:t>
      </w:r>
    </w:p>
    <w:p w14:paraId="7639AC98" w14:textId="04B73319" w:rsidR="0039093D" w:rsidRDefault="00BA52C6" w:rsidP="0039093D">
      <w:pPr>
        <w:pStyle w:val="Corpodetexto"/>
        <w:ind w:right="207"/>
        <w:jc w:val="both"/>
        <w:rPr>
          <w:lang w:val="pt-BR"/>
        </w:rPr>
      </w:pPr>
      <w:r w:rsidRPr="0039093D">
        <w:rPr>
          <w:lang w:val="pt-BR"/>
        </w:rPr>
        <w:t xml:space="preserve">AZEVEDO, Álvaro Villaça. </w:t>
      </w:r>
      <w:r w:rsidRPr="0039093D">
        <w:rPr>
          <w:i/>
          <w:lang w:val="pt-BR"/>
        </w:rPr>
        <w:t>Estatuto da Família de Fato</w:t>
      </w:r>
      <w:r w:rsidRPr="0039093D">
        <w:rPr>
          <w:lang w:val="pt-BR"/>
        </w:rPr>
        <w:t>. 2</w:t>
      </w:r>
      <w:r w:rsidR="00A763D7">
        <w:rPr>
          <w:lang w:val="pt-BR"/>
        </w:rPr>
        <w:t>.</w:t>
      </w:r>
      <w:r w:rsidRPr="0039093D">
        <w:rPr>
          <w:lang w:val="pt-BR"/>
        </w:rPr>
        <w:t xml:space="preserve"> ed. São Paulo: Atlas, 2002.</w:t>
      </w:r>
    </w:p>
    <w:p w14:paraId="1D9F4A9E" w14:textId="66236D0F" w:rsidR="009653AC" w:rsidRDefault="00BA52C6" w:rsidP="0039093D">
      <w:pPr>
        <w:pStyle w:val="Corpodetexto"/>
        <w:ind w:right="207"/>
        <w:jc w:val="both"/>
        <w:rPr>
          <w:lang w:val="pt-BR"/>
        </w:rPr>
      </w:pPr>
      <w:r w:rsidRPr="0039093D">
        <w:rPr>
          <w:lang w:val="pt-BR"/>
        </w:rPr>
        <w:t xml:space="preserve">DIAS, Maria Berenice. </w:t>
      </w:r>
      <w:r w:rsidRPr="0039093D">
        <w:rPr>
          <w:i/>
          <w:lang w:val="pt-BR"/>
        </w:rPr>
        <w:t>Manual de direito das famílias</w:t>
      </w:r>
      <w:r w:rsidRPr="0039093D">
        <w:rPr>
          <w:lang w:val="pt-BR"/>
        </w:rPr>
        <w:t>. São Paulo: Revista dos Tribunais, 2010.</w:t>
      </w:r>
    </w:p>
    <w:p w14:paraId="781BC2EB" w14:textId="7274F19C" w:rsidR="001B3676" w:rsidRPr="001B3676" w:rsidRDefault="001B3676" w:rsidP="0039093D">
      <w:pPr>
        <w:pStyle w:val="Corpodetexto"/>
        <w:ind w:right="207"/>
        <w:jc w:val="both"/>
        <w:rPr>
          <w:lang w:val="pt-BR"/>
        </w:rPr>
      </w:pPr>
      <w:r>
        <w:rPr>
          <w:lang w:val="pt-BR"/>
        </w:rPr>
        <w:t xml:space="preserve">MARCON, Carlos Eduardo. </w:t>
      </w:r>
      <w:r>
        <w:rPr>
          <w:i/>
          <w:lang w:val="pt-BR"/>
        </w:rPr>
        <w:t>A interpretação extensiva da família na Constituição federal de 1988</w:t>
      </w:r>
      <w:r>
        <w:rPr>
          <w:lang w:val="pt-BR"/>
        </w:rPr>
        <w:t>. São Paulo: Universidade de São Paulo. 2012.</w:t>
      </w:r>
    </w:p>
    <w:p w14:paraId="6D494548" w14:textId="2AED20E5" w:rsidR="001B3676" w:rsidRPr="001B3676" w:rsidRDefault="001B3676" w:rsidP="0039093D">
      <w:pPr>
        <w:pStyle w:val="Corpodetexto"/>
        <w:ind w:right="207"/>
        <w:jc w:val="both"/>
        <w:rPr>
          <w:lang w:val="pt-BR"/>
        </w:rPr>
      </w:pPr>
      <w:r>
        <w:rPr>
          <w:lang w:val="pt-BR"/>
        </w:rPr>
        <w:t xml:space="preserve">PEREIRA, Caio Mário da Silva. </w:t>
      </w:r>
      <w:r>
        <w:rPr>
          <w:i/>
          <w:lang w:val="pt-BR"/>
        </w:rPr>
        <w:t>Instituições de Direito Civil – volume V – Direito de Família</w:t>
      </w:r>
      <w:r>
        <w:rPr>
          <w:lang w:val="pt-BR"/>
        </w:rPr>
        <w:t xml:space="preserve">. </w:t>
      </w:r>
      <w:r w:rsidR="008C7678">
        <w:rPr>
          <w:lang w:val="pt-BR"/>
        </w:rPr>
        <w:t xml:space="preserve">21. ed. </w:t>
      </w:r>
      <w:r>
        <w:rPr>
          <w:lang w:val="pt-BR"/>
        </w:rPr>
        <w:t xml:space="preserve">Rio de Janeiro: Forense, 2013. </w:t>
      </w:r>
    </w:p>
    <w:sectPr w:rsidR="001B3676" w:rsidRPr="001B3676" w:rsidSect="0039093D">
      <w:type w:val="continuous"/>
      <w:pgSz w:w="11900" w:h="16840"/>
      <w:pgMar w:top="480" w:right="1360" w:bottom="280" w:left="1380" w:header="720" w:footer="720" w:gutter="0"/>
      <w:cols w:num="2" w:space="720" w:equalWidth="0">
        <w:col w:w="4361" w:space="339"/>
        <w:col w:w="4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59338E"/>
    <w:multiLevelType w:val="hybridMultilevel"/>
    <w:tmpl w:val="FD9AB106"/>
    <w:lvl w:ilvl="0" w:tplc="A96E9368">
      <w:start w:val="1"/>
      <w:numFmt w:val="decimal"/>
      <w:lvlText w:val="%1."/>
      <w:lvlJc w:val="left"/>
      <w:pPr>
        <w:ind w:left="680" w:hanging="201"/>
        <w:jc w:val="left"/>
      </w:pPr>
      <w:rPr>
        <w:rFonts w:ascii="Arial" w:eastAsia="Arial" w:hAnsi="Arial" w:cs="Arial" w:hint="default"/>
        <w:w w:val="100"/>
        <w:sz w:val="18"/>
        <w:szCs w:val="18"/>
      </w:rPr>
    </w:lvl>
    <w:lvl w:ilvl="1" w:tplc="6622B42C">
      <w:numFmt w:val="bullet"/>
      <w:lvlText w:val="•"/>
      <w:lvlJc w:val="left"/>
      <w:pPr>
        <w:ind w:left="1058" w:hanging="201"/>
      </w:pPr>
      <w:rPr>
        <w:rFonts w:hint="default"/>
      </w:rPr>
    </w:lvl>
    <w:lvl w:ilvl="2" w:tplc="7414A838">
      <w:numFmt w:val="bullet"/>
      <w:lvlText w:val="•"/>
      <w:lvlJc w:val="left"/>
      <w:pPr>
        <w:ind w:left="1436" w:hanging="201"/>
      </w:pPr>
      <w:rPr>
        <w:rFonts w:hint="default"/>
      </w:rPr>
    </w:lvl>
    <w:lvl w:ilvl="3" w:tplc="E4264526">
      <w:numFmt w:val="bullet"/>
      <w:lvlText w:val="•"/>
      <w:lvlJc w:val="left"/>
      <w:pPr>
        <w:ind w:left="1814" w:hanging="201"/>
      </w:pPr>
      <w:rPr>
        <w:rFonts w:hint="default"/>
      </w:rPr>
    </w:lvl>
    <w:lvl w:ilvl="4" w:tplc="51801958">
      <w:numFmt w:val="bullet"/>
      <w:lvlText w:val="•"/>
      <w:lvlJc w:val="left"/>
      <w:pPr>
        <w:ind w:left="2192" w:hanging="201"/>
      </w:pPr>
      <w:rPr>
        <w:rFonts w:hint="default"/>
      </w:rPr>
    </w:lvl>
    <w:lvl w:ilvl="5" w:tplc="8B56E96C">
      <w:numFmt w:val="bullet"/>
      <w:lvlText w:val="•"/>
      <w:lvlJc w:val="left"/>
      <w:pPr>
        <w:ind w:left="2570" w:hanging="201"/>
      </w:pPr>
      <w:rPr>
        <w:rFonts w:hint="default"/>
      </w:rPr>
    </w:lvl>
    <w:lvl w:ilvl="6" w:tplc="58540622">
      <w:numFmt w:val="bullet"/>
      <w:lvlText w:val="•"/>
      <w:lvlJc w:val="left"/>
      <w:pPr>
        <w:ind w:left="2948" w:hanging="201"/>
      </w:pPr>
      <w:rPr>
        <w:rFonts w:hint="default"/>
      </w:rPr>
    </w:lvl>
    <w:lvl w:ilvl="7" w:tplc="7E9A78F8">
      <w:numFmt w:val="bullet"/>
      <w:lvlText w:val="•"/>
      <w:lvlJc w:val="left"/>
      <w:pPr>
        <w:ind w:left="3326" w:hanging="201"/>
      </w:pPr>
      <w:rPr>
        <w:rFonts w:hint="default"/>
      </w:rPr>
    </w:lvl>
    <w:lvl w:ilvl="8" w:tplc="5676802E">
      <w:numFmt w:val="bullet"/>
      <w:lvlText w:val="•"/>
      <w:lvlJc w:val="left"/>
      <w:pPr>
        <w:ind w:left="3704" w:hanging="20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AC"/>
    <w:rsid w:val="00152841"/>
    <w:rsid w:val="00153D9A"/>
    <w:rsid w:val="001559F8"/>
    <w:rsid w:val="00193EEE"/>
    <w:rsid w:val="001B3676"/>
    <w:rsid w:val="002D4DF7"/>
    <w:rsid w:val="0039093D"/>
    <w:rsid w:val="006B007B"/>
    <w:rsid w:val="00715085"/>
    <w:rsid w:val="00734E1D"/>
    <w:rsid w:val="008279E4"/>
    <w:rsid w:val="008B586F"/>
    <w:rsid w:val="008C7678"/>
    <w:rsid w:val="008F4FBF"/>
    <w:rsid w:val="009653AC"/>
    <w:rsid w:val="00A763D7"/>
    <w:rsid w:val="00BA52C6"/>
    <w:rsid w:val="00C90CD7"/>
    <w:rsid w:val="00D42C05"/>
    <w:rsid w:val="00DE1A73"/>
    <w:rsid w:val="00EE29C0"/>
    <w:rsid w:val="00FE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8F0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100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680" w:hanging="200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link">
    <w:name w:val="Hyperlink"/>
    <w:basedOn w:val="Fontepargpadro"/>
    <w:uiPriority w:val="99"/>
    <w:unhideWhenUsed/>
    <w:rsid w:val="00734E1D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34E1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2738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FDRP</Company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Bellini Calzado</dc:creator>
  <cp:lastModifiedBy>Cíntia Rosa Pereira de Lima</cp:lastModifiedBy>
  <cp:revision>2</cp:revision>
  <cp:lastPrinted>2017-11-21T15:51:00Z</cp:lastPrinted>
  <dcterms:created xsi:type="dcterms:W3CDTF">2017-11-28T11:59:00Z</dcterms:created>
  <dcterms:modified xsi:type="dcterms:W3CDTF">2017-11-28T11:59:00Z</dcterms:modified>
</cp:coreProperties>
</file>