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5B8AA" w14:textId="77777777" w:rsidR="000A6005" w:rsidRPr="000A6005" w:rsidRDefault="000A6005" w:rsidP="000A6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O</w:t>
      </w:r>
      <w:r w:rsidRPr="000A6005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S ASPECTOS DOUTRINÁRIOS E CONSEQUÊNCIAS PRÁTICAS SOBRE O RECONHECIMENTO DA FAMÍLIA POLIAFETIVA COMO ENTIDADE FAMILIAR</w:t>
      </w:r>
      <w:bookmarkEnd w:id="0"/>
    </w:p>
    <w:p w14:paraId="0DDA3FFB" w14:textId="77777777" w:rsidR="000A6005" w:rsidRPr="000A6005" w:rsidRDefault="000A6005" w:rsidP="000A6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D53B15" w14:textId="77777777" w:rsidR="000A6005" w:rsidRPr="0042415C" w:rsidRDefault="000A6005" w:rsidP="000A6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415C">
        <w:rPr>
          <w:rFonts w:ascii="Arial" w:eastAsia="Times New Roman" w:hAnsi="Arial" w:cs="Arial"/>
          <w:bCs/>
          <w:color w:val="000000"/>
          <w:sz w:val="26"/>
          <w:szCs w:val="26"/>
          <w:lang w:eastAsia="pt-BR"/>
        </w:rPr>
        <w:t xml:space="preserve">Ana Paula Lopes </w:t>
      </w:r>
      <w:proofErr w:type="spellStart"/>
      <w:r w:rsidRPr="0042415C">
        <w:rPr>
          <w:rFonts w:ascii="Arial" w:eastAsia="Times New Roman" w:hAnsi="Arial" w:cs="Arial"/>
          <w:bCs/>
          <w:color w:val="000000"/>
          <w:sz w:val="26"/>
          <w:szCs w:val="26"/>
          <w:lang w:eastAsia="pt-BR"/>
        </w:rPr>
        <w:t>Palacini</w:t>
      </w:r>
      <w:proofErr w:type="spellEnd"/>
      <w:r w:rsidRPr="0042415C">
        <w:rPr>
          <w:rFonts w:ascii="Arial" w:eastAsia="Times New Roman" w:hAnsi="Arial" w:cs="Arial"/>
          <w:bCs/>
          <w:color w:val="000000"/>
          <w:sz w:val="26"/>
          <w:szCs w:val="26"/>
          <w:lang w:eastAsia="pt-BR"/>
        </w:rPr>
        <w:t xml:space="preserve"> dos Santos, Ingrid </w:t>
      </w:r>
      <w:proofErr w:type="spellStart"/>
      <w:r w:rsidRPr="0042415C">
        <w:rPr>
          <w:rFonts w:ascii="Arial" w:eastAsia="Times New Roman" w:hAnsi="Arial" w:cs="Arial"/>
          <w:bCs/>
          <w:color w:val="000000"/>
          <w:sz w:val="26"/>
          <w:szCs w:val="26"/>
          <w:lang w:eastAsia="pt-BR"/>
        </w:rPr>
        <w:t>Izumi</w:t>
      </w:r>
      <w:proofErr w:type="spellEnd"/>
      <w:r w:rsidRPr="0042415C">
        <w:rPr>
          <w:rFonts w:ascii="Arial" w:eastAsia="Times New Roman" w:hAnsi="Arial" w:cs="Arial"/>
          <w:bCs/>
          <w:color w:val="000000"/>
          <w:sz w:val="26"/>
          <w:szCs w:val="26"/>
          <w:lang w:eastAsia="pt-BR"/>
        </w:rPr>
        <w:t xml:space="preserve"> Carvalho </w:t>
      </w:r>
      <w:proofErr w:type="spellStart"/>
      <w:r w:rsidRPr="0042415C">
        <w:rPr>
          <w:rFonts w:ascii="Arial" w:eastAsia="Times New Roman" w:hAnsi="Arial" w:cs="Arial"/>
          <w:bCs/>
          <w:color w:val="000000"/>
          <w:sz w:val="26"/>
          <w:szCs w:val="26"/>
          <w:lang w:eastAsia="pt-BR"/>
        </w:rPr>
        <w:t>Nagata</w:t>
      </w:r>
      <w:proofErr w:type="spellEnd"/>
      <w:r w:rsidRPr="0042415C">
        <w:rPr>
          <w:rFonts w:ascii="Arial" w:eastAsia="Times New Roman" w:hAnsi="Arial" w:cs="Arial"/>
          <w:bCs/>
          <w:color w:val="000000"/>
          <w:sz w:val="26"/>
          <w:szCs w:val="26"/>
          <w:lang w:eastAsia="pt-BR"/>
        </w:rPr>
        <w:t xml:space="preserve">, Jefferson da Silva Martins, </w:t>
      </w:r>
      <w:proofErr w:type="spellStart"/>
      <w:r w:rsidRPr="0042415C">
        <w:rPr>
          <w:rFonts w:ascii="Arial" w:eastAsia="Times New Roman" w:hAnsi="Arial" w:cs="Arial"/>
          <w:bCs/>
          <w:color w:val="000000"/>
          <w:sz w:val="26"/>
          <w:szCs w:val="26"/>
          <w:lang w:eastAsia="pt-BR"/>
        </w:rPr>
        <w:t>Myllena</w:t>
      </w:r>
      <w:proofErr w:type="spellEnd"/>
      <w:r w:rsidRPr="0042415C">
        <w:rPr>
          <w:rFonts w:ascii="Arial" w:eastAsia="Times New Roman" w:hAnsi="Arial" w:cs="Arial"/>
          <w:bCs/>
          <w:color w:val="000000"/>
          <w:sz w:val="26"/>
          <w:szCs w:val="26"/>
          <w:lang w:eastAsia="pt-BR"/>
        </w:rPr>
        <w:t xml:space="preserve"> Felix Sampaio e Thaís Notário Boschi</w:t>
      </w:r>
    </w:p>
    <w:p w14:paraId="77483F43" w14:textId="77777777" w:rsidR="000A6005" w:rsidRPr="000A6005" w:rsidRDefault="000A6005" w:rsidP="000A6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9AFD4BE" w14:textId="77777777" w:rsidR="000A6005" w:rsidRPr="000A6005" w:rsidRDefault="000A6005" w:rsidP="000A60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005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Faculdade de Direito de Ribeirão Preto – Universidade de São Paulo</w:t>
      </w:r>
    </w:p>
    <w:p w14:paraId="598149F9" w14:textId="77777777" w:rsidR="000A6005" w:rsidRPr="000A6005" w:rsidRDefault="000A6005" w:rsidP="000A6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FFC433" w14:textId="77777777" w:rsidR="000A6005" w:rsidRPr="000A6005" w:rsidRDefault="000A6005" w:rsidP="000A6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16C434" w14:textId="77777777" w:rsidR="000A6005" w:rsidRDefault="000A6005" w:rsidP="000A6005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sectPr w:rsidR="000A6005" w:rsidSect="000A6005">
          <w:pgSz w:w="11906" w:h="16838"/>
          <w:pgMar w:top="1871" w:right="1474" w:bottom="2381" w:left="1474" w:header="709" w:footer="709" w:gutter="0"/>
          <w:cols w:space="454"/>
          <w:docGrid w:linePitch="360"/>
        </w:sectPr>
      </w:pPr>
    </w:p>
    <w:p w14:paraId="5E71B30A" w14:textId="77777777" w:rsidR="000A6005" w:rsidRPr="000A6005" w:rsidRDefault="000A6005" w:rsidP="000A600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005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lastRenderedPageBreak/>
        <w:t>Objetivos</w:t>
      </w:r>
    </w:p>
    <w:p w14:paraId="4AEE70A8" w14:textId="77777777" w:rsidR="000A6005" w:rsidRPr="000A6005" w:rsidRDefault="000A6005" w:rsidP="000A600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0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Demonstrar quais são os argumentos favoráveis e contrários à conceituação da família </w:t>
      </w:r>
      <w:proofErr w:type="spellStart"/>
      <w:r w:rsidRPr="000A60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poliafetiva</w:t>
      </w:r>
      <w:proofErr w:type="spellEnd"/>
      <w:r w:rsidRPr="000A60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enquanto entidade familiar e as consequências práticas dessa discussão a partir da análise casuística de exemplo hipotético. </w:t>
      </w:r>
    </w:p>
    <w:p w14:paraId="3864B7B2" w14:textId="77777777" w:rsidR="000A6005" w:rsidRPr="000A6005" w:rsidRDefault="000A6005" w:rsidP="000A600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005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Métodos e Procedimento</w:t>
      </w:r>
    </w:p>
    <w:p w14:paraId="0AE7F944" w14:textId="77777777" w:rsidR="000A6005" w:rsidRPr="000A6005" w:rsidRDefault="000A6005" w:rsidP="000A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0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Tem-se como base a busca de desenvolvimentos teóricos, legislação vigente, o Projeto de Lei 4.302/16 e as recomendações do CNJ sobre o enquadramento da família </w:t>
      </w:r>
      <w:proofErr w:type="spellStart"/>
      <w:r w:rsidRPr="000A60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poliafetiva</w:t>
      </w:r>
      <w:proofErr w:type="spellEnd"/>
      <w:r w:rsidRPr="000A60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enquanto entida</w:t>
      </w:r>
      <w:r w:rsidR="0042415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de familiar. Assim, aplica-se </w:t>
      </w:r>
      <w:r w:rsidRPr="000A60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método dialético para analisar o material proposto, caracterizado pelo confronto de duas (ou mais) ideias contraditórias sobre o mesmo enfoque temático, visando analisar e contrapor as diferentes posiçõe</w:t>
      </w:r>
      <w:r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 doutrinárias em face do tema.</w:t>
      </w:r>
    </w:p>
    <w:p w14:paraId="005251C4" w14:textId="77777777" w:rsidR="000A6005" w:rsidRPr="000A6005" w:rsidRDefault="000A6005" w:rsidP="000A600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005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Resultados</w:t>
      </w:r>
    </w:p>
    <w:p w14:paraId="7117782F" w14:textId="77777777" w:rsidR="000A6005" w:rsidRPr="000A6005" w:rsidRDefault="000A6005" w:rsidP="000A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0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 análise favorável à constituição de entidade familiar </w:t>
      </w:r>
      <w:proofErr w:type="spellStart"/>
      <w:r w:rsidRPr="000A60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poliafetiva</w:t>
      </w:r>
      <w:proofErr w:type="spellEnd"/>
      <w:r w:rsidRPr="000A60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parte da aplicação </w:t>
      </w:r>
      <w:proofErr w:type="spellStart"/>
      <w:r w:rsidRPr="000A60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principiológica</w:t>
      </w:r>
      <w:proofErr w:type="spellEnd"/>
      <w:r w:rsidRPr="000A60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no caso concreto e da resolução emitida pelo presidente do IBDFAM quanto ao primeiro caso registrado de família </w:t>
      </w:r>
      <w:proofErr w:type="spellStart"/>
      <w:r w:rsidRPr="000A60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poliafetiva</w:t>
      </w:r>
      <w:proofErr w:type="spellEnd"/>
      <w:r w:rsidRPr="000A60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Sob esses aspectos, é possível reconhecer a família </w:t>
      </w:r>
      <w:proofErr w:type="spellStart"/>
      <w:r w:rsidRPr="000A60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poliafetiva</w:t>
      </w:r>
      <w:proofErr w:type="spellEnd"/>
      <w:r w:rsidRPr="000A60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configurada através da união estável e da aplicação do regime sucessório e de partilha de bens sobre seus membros. </w:t>
      </w:r>
      <w:r w:rsidR="00A775A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Quanto à análise jurisprudencial,</w:t>
      </w:r>
      <w:r w:rsidR="006375D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="00A775A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</w:t>
      </w:r>
      <w:r w:rsidR="006375D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pesar da </w:t>
      </w:r>
      <w:r w:rsidR="00A775A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notória diferença </w:t>
      </w:r>
      <w:r w:rsidR="00375C8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entre </w:t>
      </w:r>
      <w:r w:rsidR="001D6C7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as famílias paralelas e as famílias </w:t>
      </w:r>
      <w:proofErr w:type="spellStart"/>
      <w:r w:rsidR="001D6C7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poliafetivas</w:t>
      </w:r>
      <w:proofErr w:type="spellEnd"/>
      <w:r w:rsidR="00A775A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vez que nas </w:t>
      </w:r>
      <w:r w:rsidR="001D6C7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primeiras</w:t>
      </w:r>
      <w:r w:rsidR="00A775A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encontram-se mais de um núcleo familiar, enquanto nas </w:t>
      </w:r>
      <w:r w:rsidR="001D6C7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segundas</w:t>
      </w:r>
      <w:r w:rsidR="00A775A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apenas um </w:t>
      </w:r>
      <w:r w:rsidR="00830C1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núcleo</w:t>
      </w:r>
      <w:r w:rsidR="001D6C7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composto por mais de duas pessoas</w:t>
      </w:r>
      <w:r w:rsidR="00A775A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foi possível usar o tratamento jurídico dado às famílias </w:t>
      </w:r>
      <w:r w:rsidR="00375C8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paralelas</w:t>
      </w:r>
      <w:r w:rsidR="00A775A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como precedentes para embasar o tema do </w:t>
      </w:r>
      <w:proofErr w:type="spellStart"/>
      <w:r w:rsidR="00A775A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poliamor</w:t>
      </w:r>
      <w:proofErr w:type="spellEnd"/>
      <w:r w:rsidR="00A775A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</w:t>
      </w:r>
      <w:r w:rsidRPr="000A60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De modo diverso, </w:t>
      </w:r>
      <w:r w:rsidRPr="000A60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 xml:space="preserve">a análise contrária determina evitar o reconhecimento de uniões </w:t>
      </w:r>
      <w:proofErr w:type="spellStart"/>
      <w:r w:rsidRPr="000A60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poliafetivas</w:t>
      </w:r>
      <w:proofErr w:type="spellEnd"/>
      <w:r w:rsidRPr="000A60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em Tabelionatos de Notas, por falta de sustentação jurídica e social. Seguem esse entendimento o próprio CNJ, as </w:t>
      </w:r>
      <w:proofErr w:type="spellStart"/>
      <w:r w:rsidRPr="000A60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Corregedorias-Gerais</w:t>
      </w:r>
      <w:proofErr w:type="spellEnd"/>
      <w:r w:rsidRPr="000A60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Rio de Janeiro e de São Paulo e diversos Tribunais (em julgados de famílias paralelas), bem como doutrinas que assumem os princípios do matrimônio às uniões </w:t>
      </w:r>
      <w:proofErr w:type="spellStart"/>
      <w:r w:rsidRPr="000A60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plúrimas</w:t>
      </w:r>
      <w:proofErr w:type="spellEnd"/>
      <w:r w:rsidRPr="000A60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14:paraId="2C6A94D1" w14:textId="77777777" w:rsidR="000A6005" w:rsidRPr="000A6005" w:rsidRDefault="000A6005" w:rsidP="000A600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005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Conclusão</w:t>
      </w:r>
    </w:p>
    <w:p w14:paraId="0FDBF3D0" w14:textId="77777777" w:rsidR="000A6005" w:rsidRPr="000A6005" w:rsidRDefault="000A6005" w:rsidP="000A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0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Diante do trabalho desenvolvido, conclui-se que o tema ainda é controverso na doutrina, de modo que a realidade fática dessas famílias prescinde de proteção jurídica.  Além disso, conclui-se</w:t>
      </w:r>
      <w:r w:rsidR="00782C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  <w:r w:rsidRPr="000A60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também</w:t>
      </w:r>
      <w:r w:rsidR="00782C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  <w:r w:rsidRPr="000A60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que há uma confusão terminológica entre famílias </w:t>
      </w:r>
      <w:proofErr w:type="spellStart"/>
      <w:r w:rsidRPr="000A60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poliafetivas</w:t>
      </w:r>
      <w:proofErr w:type="spellEnd"/>
      <w:r w:rsidRPr="000A60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famílias paralelas nos Tribunais, interferindo na análise e no reconhecimento de tal composição familiar. </w:t>
      </w:r>
    </w:p>
    <w:p w14:paraId="04253CE5" w14:textId="77777777" w:rsidR="000A6005" w:rsidRPr="000A6005" w:rsidRDefault="000A6005" w:rsidP="000A6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9DD7DD" w14:textId="77777777" w:rsidR="00ED2CCC" w:rsidRPr="00ED2CCC" w:rsidRDefault="000A6005" w:rsidP="00ED2CC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</w:pPr>
      <w:r w:rsidRPr="000A6005">
        <w:rPr>
          <w:rFonts w:ascii="Arial" w:eastAsia="Times New Roman" w:hAnsi="Arial" w:cs="Arial"/>
          <w:b/>
          <w:bCs/>
          <w:color w:val="000000"/>
          <w:sz w:val="26"/>
          <w:szCs w:val="26"/>
          <w:lang w:eastAsia="pt-BR"/>
        </w:rPr>
        <w:t>Referências Bibliográficas</w:t>
      </w:r>
    </w:p>
    <w:p w14:paraId="796EF560" w14:textId="77777777" w:rsidR="000A6005" w:rsidRPr="000A6005" w:rsidRDefault="000A6005" w:rsidP="000A60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A60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DIAS, Maria Berenice. </w:t>
      </w:r>
      <w:r w:rsidRPr="0042415C">
        <w:rPr>
          <w:rFonts w:ascii="Arial" w:eastAsia="Times New Roman" w:hAnsi="Arial" w:cs="Arial"/>
          <w:bCs/>
          <w:i/>
          <w:color w:val="000000"/>
          <w:sz w:val="20"/>
          <w:szCs w:val="20"/>
          <w:lang w:eastAsia="pt-BR"/>
        </w:rPr>
        <w:t>Manual de Direito de Família</w:t>
      </w:r>
      <w:r w:rsidRPr="000A60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11. Ed. São Paulo: Revista dos Tribunais, 2016.</w:t>
      </w:r>
    </w:p>
    <w:p w14:paraId="30C857A4" w14:textId="77777777" w:rsidR="000A6005" w:rsidRPr="000A6005" w:rsidRDefault="000A6005" w:rsidP="000A60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D6FA7C" w14:textId="77777777" w:rsidR="000A6005" w:rsidRDefault="000A6005" w:rsidP="000A6005">
      <w:pPr>
        <w:spacing w:after="0" w:line="240" w:lineRule="auto"/>
        <w:ind w:right="-15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6375D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FELL, </w:t>
      </w:r>
      <w:proofErr w:type="spellStart"/>
      <w:r w:rsidRPr="006375D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Elizângela</w:t>
      </w:r>
      <w:proofErr w:type="spellEnd"/>
      <w:r w:rsidRPr="006375D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6375D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Treméa</w:t>
      </w:r>
      <w:proofErr w:type="spellEnd"/>
      <w:r w:rsidRPr="006375D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; SANCHES, Jeniffer </w:t>
      </w:r>
      <w:proofErr w:type="spellStart"/>
      <w:r w:rsidRPr="006375D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Balen</w:t>
      </w:r>
      <w:proofErr w:type="spellEnd"/>
      <w:r w:rsidRPr="006375D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. </w:t>
      </w:r>
      <w:r w:rsidRPr="000A60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Possibilidade de reconhecimento da união </w:t>
      </w:r>
      <w:proofErr w:type="spellStart"/>
      <w:r w:rsidRPr="000A60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poliafetiva</w:t>
      </w:r>
      <w:proofErr w:type="spellEnd"/>
      <w:r w:rsidRPr="000A60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como entidade familiar e suas respectivas implicações perante o ordenamento jurídico pátrio. </w:t>
      </w:r>
      <w:r w:rsidRPr="0042415C">
        <w:rPr>
          <w:rFonts w:ascii="Arial" w:eastAsia="Times New Roman" w:hAnsi="Arial" w:cs="Arial"/>
          <w:bCs/>
          <w:i/>
          <w:color w:val="000000"/>
          <w:sz w:val="20"/>
          <w:szCs w:val="20"/>
          <w:lang w:eastAsia="pt-BR"/>
        </w:rPr>
        <w:t>Revista de Direito de Família e Sucessões.</w:t>
      </w:r>
      <w:r w:rsidRPr="000A6005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</w:t>
      </w:r>
      <w:r w:rsidRPr="000A60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Curitiba. V.2; n.2; p.1-19. </w:t>
      </w:r>
      <w:proofErr w:type="spellStart"/>
      <w:r w:rsidRPr="000A60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Jul</w:t>
      </w:r>
      <w:proofErr w:type="spellEnd"/>
      <w:r w:rsidRPr="000A60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/</w:t>
      </w:r>
      <w:proofErr w:type="gramStart"/>
      <w:r w:rsidRPr="000A60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Dez.</w:t>
      </w:r>
      <w:proofErr w:type="gramEnd"/>
      <w:r w:rsidRPr="000A60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2016.</w:t>
      </w:r>
    </w:p>
    <w:p w14:paraId="22541A9A" w14:textId="77777777" w:rsidR="000A6005" w:rsidRPr="000A6005" w:rsidRDefault="000A6005" w:rsidP="000A6005">
      <w:pPr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8D383A" w14:textId="77777777" w:rsidR="000A6005" w:rsidRPr="001D6C7C" w:rsidRDefault="000A6005" w:rsidP="000A60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A60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FISCHER, José Flávio Bueno. </w:t>
      </w:r>
      <w:r w:rsidRPr="0042415C">
        <w:rPr>
          <w:rFonts w:ascii="Arial" w:eastAsia="Times New Roman" w:hAnsi="Arial" w:cs="Arial"/>
          <w:bCs/>
          <w:i/>
          <w:color w:val="000000"/>
          <w:sz w:val="20"/>
          <w:szCs w:val="20"/>
          <w:lang w:eastAsia="pt-BR"/>
        </w:rPr>
        <w:t xml:space="preserve">União </w:t>
      </w:r>
      <w:proofErr w:type="spellStart"/>
      <w:r w:rsidRPr="0042415C">
        <w:rPr>
          <w:rFonts w:ascii="Arial" w:eastAsia="Times New Roman" w:hAnsi="Arial" w:cs="Arial"/>
          <w:bCs/>
          <w:i/>
          <w:color w:val="000000"/>
          <w:sz w:val="20"/>
          <w:szCs w:val="20"/>
          <w:lang w:eastAsia="pt-BR"/>
        </w:rPr>
        <w:t>poliafetiva</w:t>
      </w:r>
      <w:proofErr w:type="spellEnd"/>
      <w:r w:rsidRPr="0042415C">
        <w:rPr>
          <w:rFonts w:ascii="Arial" w:eastAsia="Times New Roman" w:hAnsi="Arial" w:cs="Arial"/>
          <w:bCs/>
          <w:i/>
          <w:color w:val="000000"/>
          <w:sz w:val="20"/>
          <w:szCs w:val="20"/>
          <w:lang w:eastAsia="pt-BR"/>
        </w:rPr>
        <w:t xml:space="preserve"> e a função social do tabelião</w:t>
      </w:r>
      <w:r w:rsidRPr="000A60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2016. Disponível em:</w:t>
      </w:r>
      <w:r w:rsidR="00782CDE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r w:rsidRPr="000A600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&lt;http://www.notariado.org.br/index.php?pG=X19l</w:t>
      </w:r>
      <w:r w:rsidR="00A775AD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eGliZV9ub3RpY2lhcw==&amp;in=ODQ4Ng=</w:t>
      </w:r>
      <w:r w:rsidR="001D6C7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&gt;. Acesso em 17 de set de 2017.</w:t>
      </w:r>
    </w:p>
    <w:sectPr w:rsidR="000A6005" w:rsidRPr="001D6C7C" w:rsidSect="000A6005">
      <w:type w:val="continuous"/>
      <w:pgSz w:w="11906" w:h="16838"/>
      <w:pgMar w:top="1871" w:right="1474" w:bottom="2381" w:left="1474" w:header="709" w:footer="709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13780" w14:textId="77777777" w:rsidR="00A14547" w:rsidRDefault="00A14547" w:rsidP="000A6005">
      <w:pPr>
        <w:spacing w:after="0" w:line="240" w:lineRule="auto"/>
      </w:pPr>
      <w:r>
        <w:separator/>
      </w:r>
    </w:p>
  </w:endnote>
  <w:endnote w:type="continuationSeparator" w:id="0">
    <w:p w14:paraId="6AD3B416" w14:textId="77777777" w:rsidR="00A14547" w:rsidRDefault="00A14547" w:rsidP="000A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49542" w14:textId="77777777" w:rsidR="00A14547" w:rsidRDefault="00A14547" w:rsidP="000A6005">
      <w:pPr>
        <w:spacing w:after="0" w:line="240" w:lineRule="auto"/>
      </w:pPr>
      <w:r>
        <w:separator/>
      </w:r>
    </w:p>
  </w:footnote>
  <w:footnote w:type="continuationSeparator" w:id="0">
    <w:p w14:paraId="43998249" w14:textId="77777777" w:rsidR="00A14547" w:rsidRDefault="00A14547" w:rsidP="000A6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06"/>
    <w:rsid w:val="00064AD2"/>
    <w:rsid w:val="00090D67"/>
    <w:rsid w:val="000A17C7"/>
    <w:rsid w:val="000A6005"/>
    <w:rsid w:val="000B29D6"/>
    <w:rsid w:val="000C039F"/>
    <w:rsid w:val="001C2106"/>
    <w:rsid w:val="001D6C7C"/>
    <w:rsid w:val="001E0DDC"/>
    <w:rsid w:val="00214C5F"/>
    <w:rsid w:val="0030553A"/>
    <w:rsid w:val="00375C84"/>
    <w:rsid w:val="0042415C"/>
    <w:rsid w:val="00465206"/>
    <w:rsid w:val="00623F3B"/>
    <w:rsid w:val="006375D4"/>
    <w:rsid w:val="00772138"/>
    <w:rsid w:val="00782CDE"/>
    <w:rsid w:val="00830C18"/>
    <w:rsid w:val="00942817"/>
    <w:rsid w:val="009E2676"/>
    <w:rsid w:val="00A14547"/>
    <w:rsid w:val="00A775AD"/>
    <w:rsid w:val="00AD3F31"/>
    <w:rsid w:val="00B650F4"/>
    <w:rsid w:val="00D445DC"/>
    <w:rsid w:val="00E97742"/>
    <w:rsid w:val="00ED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4EF6"/>
  <w15:docId w15:val="{135F92A9-CE95-4B26-8D93-88445802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4C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">
    <w:name w:val="Hyperlink"/>
    <w:basedOn w:val="Fontepargpadro"/>
    <w:uiPriority w:val="99"/>
    <w:unhideWhenUsed/>
    <w:rsid w:val="00465206"/>
    <w:rPr>
      <w:color w:val="0000FF"/>
      <w:u w:val="single"/>
    </w:rPr>
  </w:style>
  <w:style w:type="character" w:customStyle="1" w:styleId="apple-tab-span">
    <w:name w:val="apple-tab-span"/>
    <w:basedOn w:val="Fontepargpadro"/>
    <w:rsid w:val="00465206"/>
  </w:style>
  <w:style w:type="paragraph" w:styleId="Cabealho">
    <w:name w:val="header"/>
    <w:basedOn w:val="Normal"/>
    <w:link w:val="CabealhoChar"/>
    <w:uiPriority w:val="99"/>
    <w:unhideWhenUsed/>
    <w:rsid w:val="000A6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6005"/>
  </w:style>
  <w:style w:type="paragraph" w:styleId="Rodap">
    <w:name w:val="footer"/>
    <w:basedOn w:val="Normal"/>
    <w:link w:val="RodapChar"/>
    <w:uiPriority w:val="99"/>
    <w:unhideWhenUsed/>
    <w:rsid w:val="000A6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6005"/>
  </w:style>
  <w:style w:type="character" w:customStyle="1" w:styleId="UnresolvedMention">
    <w:name w:val="Unresolved Mention"/>
    <w:basedOn w:val="Fontepargpadro"/>
    <w:uiPriority w:val="99"/>
    <w:semiHidden/>
    <w:unhideWhenUsed/>
    <w:rsid w:val="000B29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2726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Thaís Boschi</dc:creator>
  <cp:keywords/>
  <dc:description/>
  <cp:lastModifiedBy>Cíntia Rosa Pereira de Lima</cp:lastModifiedBy>
  <cp:revision>2</cp:revision>
  <dcterms:created xsi:type="dcterms:W3CDTF">2017-11-28T13:01:00Z</dcterms:created>
  <dcterms:modified xsi:type="dcterms:W3CDTF">2017-11-28T13:01:00Z</dcterms:modified>
</cp:coreProperties>
</file>